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00F94" w14:textId="69D997A2" w:rsidR="00A56209" w:rsidRDefault="00B100D1" w:rsidP="00C1374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B0FBC">
        <w:rPr>
          <w:rFonts w:asciiTheme="minorHAnsi" w:hAnsiTheme="minorHAnsi" w:cstheme="minorHAnsi"/>
          <w:b/>
          <w:color w:val="000000"/>
          <w:sz w:val="22"/>
          <w:szCs w:val="22"/>
        </w:rPr>
        <w:t>Biennial Review of Institute</w:t>
      </w:r>
      <w:r w:rsidR="00A56209" w:rsidRPr="00FB0F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10A94" w:rsidRPr="00FB0FBC">
        <w:rPr>
          <w:rFonts w:asciiTheme="minorHAnsi" w:hAnsiTheme="minorHAnsi" w:cstheme="minorHAnsi"/>
          <w:b/>
          <w:color w:val="000000"/>
          <w:sz w:val="22"/>
          <w:szCs w:val="22"/>
        </w:rPr>
        <w:t>for</w:t>
      </w:r>
      <w:r w:rsidR="00A56209" w:rsidRPr="00FB0F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Health Research </w:t>
      </w:r>
      <w:r w:rsidR="005147F2">
        <w:rPr>
          <w:rFonts w:asciiTheme="minorHAnsi" w:hAnsiTheme="minorHAnsi" w:cstheme="minorHAnsi"/>
          <w:b/>
          <w:color w:val="000000"/>
          <w:sz w:val="22"/>
          <w:szCs w:val="22"/>
        </w:rPr>
        <w:t>2016-</w:t>
      </w:r>
      <w:r w:rsidR="00A56209" w:rsidRPr="00FB0FBC">
        <w:rPr>
          <w:rFonts w:asciiTheme="minorHAnsi" w:hAnsiTheme="minorHAnsi" w:cstheme="minorHAnsi"/>
          <w:b/>
          <w:color w:val="000000"/>
          <w:sz w:val="22"/>
          <w:szCs w:val="22"/>
        </w:rPr>
        <w:t>2018</w:t>
      </w:r>
    </w:p>
    <w:p w14:paraId="5B9B1A09" w14:textId="77777777" w:rsidR="00D20FB0" w:rsidRPr="00FB0FBC" w:rsidRDefault="00D20FB0" w:rsidP="00C1374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9464C6" w14:textId="6842B298" w:rsidR="005818AF" w:rsidRDefault="00963CA4" w:rsidP="00C1374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3CA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Overview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62AB" w:rsidRPr="00963CA4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F862AB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B0FBC" w:rsidRPr="00FB0FBC">
        <w:rPr>
          <w:rFonts w:asciiTheme="minorHAnsi" w:hAnsiTheme="minorHAnsi" w:cstheme="minorHAnsi"/>
          <w:color w:val="000000"/>
          <w:sz w:val="22"/>
          <w:szCs w:val="22"/>
        </w:rPr>
        <w:t>Institute for Health Research (</w:t>
      </w:r>
      <w:r w:rsidR="00F862AB" w:rsidRPr="00FB0FBC">
        <w:rPr>
          <w:rFonts w:asciiTheme="minorHAnsi" w:hAnsiTheme="minorHAnsi" w:cstheme="minorHAnsi"/>
          <w:color w:val="000000"/>
          <w:sz w:val="22"/>
          <w:szCs w:val="22"/>
        </w:rPr>
        <w:t>IHR</w:t>
      </w:r>
      <w:r w:rsidR="00FB0FBC" w:rsidRPr="00FB0FBC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F862AB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1374B"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="00CB20BF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="004A0F5A">
        <w:rPr>
          <w:rFonts w:asciiTheme="minorHAnsi" w:hAnsiTheme="minorHAnsi" w:cstheme="minorHAnsi"/>
          <w:color w:val="000000"/>
          <w:sz w:val="22"/>
          <w:szCs w:val="22"/>
        </w:rPr>
        <w:t>n umbrella organisation</w:t>
      </w:r>
      <w:r w:rsidR="003817A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62AB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for researchers and research activities across </w:t>
      </w:r>
      <w:r w:rsidR="00FB0FBC" w:rsidRPr="00FB0FBC">
        <w:rPr>
          <w:rFonts w:asciiTheme="minorHAnsi" w:hAnsiTheme="minorHAnsi" w:cstheme="minorHAnsi"/>
          <w:color w:val="000000"/>
          <w:sz w:val="22"/>
          <w:szCs w:val="22"/>
        </w:rPr>
        <w:t>an</w:t>
      </w:r>
      <w:r w:rsidR="00F862AB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B20BF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extensive </w:t>
      </w:r>
      <w:r w:rsidR="00F862AB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spectrum </w:t>
      </w:r>
      <w:r w:rsidR="00CB20BF" w:rsidRPr="00FB0FBC">
        <w:rPr>
          <w:rFonts w:asciiTheme="minorHAnsi" w:hAnsiTheme="minorHAnsi" w:cstheme="minorHAnsi"/>
          <w:color w:val="000000"/>
          <w:sz w:val="22"/>
          <w:szCs w:val="22"/>
        </w:rPr>
        <w:t>of</w:t>
      </w:r>
      <w:r w:rsidR="00F862AB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health</w:t>
      </w:r>
      <w:r w:rsidR="00CB20BF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and health-related research</w:t>
      </w:r>
      <w:r w:rsidR="00A711E9">
        <w:rPr>
          <w:rFonts w:asciiTheme="minorHAnsi" w:hAnsiTheme="minorHAnsi" w:cstheme="minorHAnsi"/>
          <w:color w:val="000000"/>
          <w:sz w:val="22"/>
          <w:szCs w:val="22"/>
        </w:rPr>
        <w:t xml:space="preserve"> within LJMU</w:t>
      </w:r>
      <w:r w:rsidR="00AB16F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F862AB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B20BF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bringing together </w:t>
      </w:r>
      <w:r w:rsidR="00C04E17" w:rsidRPr="00FB0FBC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CB20BF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0F5A">
        <w:rPr>
          <w:rFonts w:asciiTheme="minorHAnsi" w:hAnsiTheme="minorHAnsi" w:cstheme="minorHAnsi"/>
          <w:color w:val="000000"/>
          <w:sz w:val="22"/>
          <w:szCs w:val="22"/>
        </w:rPr>
        <w:t>multi- and inter-disciplinary</w:t>
      </w:r>
      <w:r w:rsidR="003817A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B20BF" w:rsidRPr="00FB0FBC">
        <w:rPr>
          <w:rFonts w:asciiTheme="minorHAnsi" w:hAnsiTheme="minorHAnsi" w:cstheme="minorHAnsi"/>
          <w:color w:val="000000"/>
          <w:sz w:val="22"/>
          <w:szCs w:val="22"/>
        </w:rPr>
        <w:t>mix of expertise to address 21</w:t>
      </w:r>
      <w:r w:rsidR="00CB20BF" w:rsidRPr="00FB0FB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st</w:t>
      </w:r>
      <w:r w:rsidR="00CB20BF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century health challenges.</w:t>
      </w:r>
      <w:r w:rsidR="00C137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B20BF" w:rsidRPr="00FB0FBC">
        <w:rPr>
          <w:rFonts w:asciiTheme="minorHAnsi" w:hAnsiTheme="minorHAnsi" w:cstheme="minorHAnsi"/>
          <w:sz w:val="22"/>
          <w:szCs w:val="22"/>
        </w:rPr>
        <w:t>The</w:t>
      </w:r>
      <w:r w:rsidR="00F862AB" w:rsidRPr="00FB0FBC">
        <w:rPr>
          <w:rFonts w:asciiTheme="minorHAnsi" w:hAnsiTheme="minorHAnsi" w:cstheme="minorHAnsi"/>
          <w:sz w:val="22"/>
          <w:szCs w:val="22"/>
        </w:rPr>
        <w:t xml:space="preserve"> vision</w:t>
      </w:r>
      <w:r w:rsidR="00D20FB0">
        <w:rPr>
          <w:rFonts w:asciiTheme="minorHAnsi" w:hAnsiTheme="minorHAnsi" w:cstheme="minorHAnsi"/>
          <w:sz w:val="22"/>
          <w:szCs w:val="22"/>
        </w:rPr>
        <w:t>,</w:t>
      </w:r>
      <w:r w:rsidR="00F862AB" w:rsidRPr="00FB0FBC">
        <w:rPr>
          <w:rFonts w:asciiTheme="minorHAnsi" w:hAnsiTheme="minorHAnsi" w:cstheme="minorHAnsi"/>
          <w:sz w:val="22"/>
          <w:szCs w:val="22"/>
        </w:rPr>
        <w:t xml:space="preserve"> to establish the IHR as a </w:t>
      </w:r>
      <w:r w:rsidR="00C04E17" w:rsidRPr="00FB0FBC">
        <w:rPr>
          <w:rFonts w:asciiTheme="minorHAnsi" w:hAnsiTheme="minorHAnsi" w:cstheme="minorHAnsi"/>
          <w:sz w:val="22"/>
          <w:szCs w:val="22"/>
        </w:rPr>
        <w:t>world-leading</w:t>
      </w:r>
      <w:r w:rsidR="00F862AB" w:rsidRPr="00FB0FBC">
        <w:rPr>
          <w:rFonts w:asciiTheme="minorHAnsi" w:hAnsiTheme="minorHAnsi" w:cstheme="minorHAnsi"/>
          <w:sz w:val="22"/>
          <w:szCs w:val="22"/>
        </w:rPr>
        <w:t xml:space="preserve"> institute at the forefront of health research, scholarship and knowledge exchange</w:t>
      </w:r>
      <w:r w:rsidR="00AB16F9">
        <w:rPr>
          <w:rFonts w:asciiTheme="minorHAnsi" w:hAnsiTheme="minorHAnsi" w:cstheme="minorHAnsi"/>
          <w:sz w:val="22"/>
          <w:szCs w:val="22"/>
        </w:rPr>
        <w:t>,</w:t>
      </w:r>
      <w:r w:rsidR="00F862AB" w:rsidRPr="00FB0FBC">
        <w:rPr>
          <w:rFonts w:asciiTheme="minorHAnsi" w:hAnsiTheme="minorHAnsi" w:cstheme="minorHAnsi"/>
          <w:sz w:val="22"/>
          <w:szCs w:val="22"/>
        </w:rPr>
        <w:t xml:space="preserve"> across local, national and international platforms</w:t>
      </w:r>
      <w:r w:rsidR="00AB16F9">
        <w:rPr>
          <w:rFonts w:asciiTheme="minorHAnsi" w:hAnsiTheme="minorHAnsi" w:cstheme="minorHAnsi"/>
          <w:sz w:val="22"/>
          <w:szCs w:val="22"/>
        </w:rPr>
        <w:t>,</w:t>
      </w:r>
      <w:r w:rsidR="00CB20BF" w:rsidRPr="00FB0FBC">
        <w:rPr>
          <w:rFonts w:asciiTheme="minorHAnsi" w:hAnsiTheme="minorHAnsi" w:cstheme="minorHAnsi"/>
          <w:sz w:val="22"/>
          <w:szCs w:val="22"/>
        </w:rPr>
        <w:t xml:space="preserve"> is gradually being realised as researchers appreciate the benefits of collaboration across disciplinary boundaries.</w:t>
      </w:r>
      <w:r w:rsidR="00C137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276A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The IHR </w:t>
      </w:r>
      <w:r w:rsidR="00526035"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="001E276A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6035">
        <w:rPr>
          <w:rFonts w:asciiTheme="minorHAnsi" w:hAnsiTheme="minorHAnsi" w:cstheme="minorHAnsi"/>
          <w:color w:val="000000"/>
          <w:sz w:val="22"/>
          <w:szCs w:val="22"/>
        </w:rPr>
        <w:t xml:space="preserve">gaining </w:t>
      </w:r>
      <w:r w:rsidR="001E276A" w:rsidRPr="00FB0FBC">
        <w:rPr>
          <w:rFonts w:asciiTheme="minorHAnsi" w:hAnsiTheme="minorHAnsi" w:cstheme="minorHAnsi"/>
          <w:color w:val="000000"/>
          <w:sz w:val="22"/>
          <w:szCs w:val="22"/>
        </w:rPr>
        <w:t>recogni</w:t>
      </w:r>
      <w:r w:rsidR="00526035">
        <w:rPr>
          <w:rFonts w:asciiTheme="minorHAnsi" w:hAnsiTheme="minorHAnsi" w:cstheme="minorHAnsi"/>
          <w:color w:val="000000"/>
          <w:sz w:val="22"/>
          <w:szCs w:val="22"/>
        </w:rPr>
        <w:t>tion</w:t>
      </w:r>
      <w:r w:rsidR="001E276A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as being at the forefront of </w:t>
      </w:r>
      <w:r w:rsidR="00FB0FBC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innovative research with a focus on understanding </w:t>
      </w:r>
      <w:r w:rsidR="00526035">
        <w:rPr>
          <w:rFonts w:asciiTheme="minorHAnsi" w:hAnsiTheme="minorHAnsi" w:cstheme="minorHAnsi"/>
          <w:color w:val="000000"/>
          <w:sz w:val="22"/>
          <w:szCs w:val="22"/>
        </w:rPr>
        <w:t xml:space="preserve">healthy </w:t>
      </w:r>
      <w:r w:rsidR="00FB0FBC" w:rsidRPr="00FB0FBC">
        <w:rPr>
          <w:rFonts w:asciiTheme="minorHAnsi" w:hAnsiTheme="minorHAnsi" w:cstheme="minorHAnsi"/>
          <w:color w:val="000000"/>
          <w:sz w:val="22"/>
          <w:szCs w:val="22"/>
        </w:rPr>
        <w:t>behaviour</w:t>
      </w:r>
      <w:r w:rsidR="00526035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B0FBC" w:rsidRPr="00FB0FBC">
        <w:rPr>
          <w:rFonts w:asciiTheme="minorHAnsi" w:hAnsiTheme="minorHAnsi" w:cstheme="minorHAnsi"/>
          <w:color w:val="000000"/>
          <w:sz w:val="22"/>
          <w:szCs w:val="22"/>
        </w:rPr>
        <w:t>, the prevention of il</w:t>
      </w:r>
      <w:r w:rsidR="00DD1A63">
        <w:rPr>
          <w:rFonts w:asciiTheme="minorHAnsi" w:hAnsiTheme="minorHAnsi" w:cstheme="minorHAnsi"/>
          <w:color w:val="000000"/>
          <w:sz w:val="22"/>
          <w:szCs w:val="22"/>
        </w:rPr>
        <w:t>lness and improved patient care,</w:t>
      </w:r>
      <w:r w:rsidR="00FB0FBC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with particular </w:t>
      </w:r>
      <w:r w:rsidR="00AB16F9">
        <w:rPr>
          <w:rFonts w:asciiTheme="minorHAnsi" w:hAnsiTheme="minorHAnsi" w:cstheme="minorHAnsi"/>
          <w:color w:val="000000"/>
          <w:sz w:val="22"/>
          <w:szCs w:val="22"/>
        </w:rPr>
        <w:t>attention</w:t>
      </w:r>
      <w:r w:rsidR="00FB0FBC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B16F9">
        <w:rPr>
          <w:rFonts w:asciiTheme="minorHAnsi" w:hAnsiTheme="minorHAnsi" w:cstheme="minorHAnsi"/>
          <w:color w:val="000000"/>
          <w:sz w:val="22"/>
          <w:szCs w:val="22"/>
        </w:rPr>
        <w:t>towards</w:t>
      </w:r>
      <w:r w:rsidR="00FB0FBC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the health needs of our </w:t>
      </w:r>
      <w:r w:rsidR="004A0F5A">
        <w:rPr>
          <w:rFonts w:asciiTheme="minorHAnsi" w:hAnsiTheme="minorHAnsi" w:cstheme="minorHAnsi"/>
          <w:color w:val="000000"/>
          <w:sz w:val="22"/>
          <w:szCs w:val="22"/>
        </w:rPr>
        <w:t>city region</w:t>
      </w:r>
      <w:r w:rsidR="00FB0FBC" w:rsidRPr="00FB0FB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818AF">
        <w:rPr>
          <w:rFonts w:asciiTheme="minorHAnsi" w:hAnsiTheme="minorHAnsi" w:cstheme="minorHAnsi"/>
          <w:color w:val="000000"/>
          <w:sz w:val="22"/>
          <w:szCs w:val="22"/>
        </w:rPr>
        <w:t xml:space="preserve"> The original objectives</w:t>
      </w:r>
      <w:r w:rsidR="00DD1A63">
        <w:rPr>
          <w:rFonts w:asciiTheme="minorHAnsi" w:hAnsiTheme="minorHAnsi" w:cstheme="minorHAnsi"/>
          <w:color w:val="000000"/>
          <w:sz w:val="22"/>
          <w:szCs w:val="22"/>
        </w:rPr>
        <w:t xml:space="preserve"> for the IHR were, in brief, to:</w:t>
      </w:r>
    </w:p>
    <w:p w14:paraId="612E3EFF" w14:textId="77777777" w:rsidR="00C87CF6" w:rsidRPr="00963CA4" w:rsidRDefault="00C87CF6" w:rsidP="00C1374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9428784" w14:textId="77777777" w:rsidR="005818AF" w:rsidRPr="008463CC" w:rsidRDefault="005818AF" w:rsidP="00DD1A63">
      <w:pPr>
        <w:pStyle w:val="Header"/>
        <w:numPr>
          <w:ilvl w:val="0"/>
          <w:numId w:val="5"/>
        </w:numPr>
        <w:tabs>
          <w:tab w:val="clear" w:pos="4513"/>
          <w:tab w:val="clear" w:pos="90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463CC">
        <w:rPr>
          <w:rFonts w:ascii="Calibri" w:hAnsi="Calibri" w:cs="Calibri"/>
          <w:sz w:val="22"/>
          <w:szCs w:val="22"/>
        </w:rPr>
        <w:t>Provide leadership, direction and unity for health-related research and scholarly activities across LJMU.</w:t>
      </w:r>
    </w:p>
    <w:p w14:paraId="0855D7A8" w14:textId="203D9658" w:rsidR="005818AF" w:rsidRPr="008463CC" w:rsidRDefault="005818AF" w:rsidP="00DD1A63">
      <w:pPr>
        <w:pStyle w:val="Header"/>
        <w:numPr>
          <w:ilvl w:val="0"/>
          <w:numId w:val="5"/>
        </w:numPr>
        <w:tabs>
          <w:tab w:val="clear" w:pos="4513"/>
          <w:tab w:val="clear" w:pos="90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463CC">
        <w:rPr>
          <w:rFonts w:ascii="Calibri" w:hAnsi="Calibri" w:cs="Calibri"/>
          <w:sz w:val="22"/>
          <w:szCs w:val="22"/>
        </w:rPr>
        <w:t>Enhance the research environment and individual researcher capability</w:t>
      </w:r>
      <w:r>
        <w:rPr>
          <w:rFonts w:ascii="Calibri" w:hAnsi="Calibri" w:cs="Calibri"/>
          <w:sz w:val="22"/>
          <w:szCs w:val="22"/>
        </w:rPr>
        <w:t>.</w:t>
      </w:r>
      <w:r w:rsidRPr="008463CC">
        <w:rPr>
          <w:rFonts w:ascii="Calibri" w:hAnsi="Calibri" w:cs="Calibri"/>
          <w:sz w:val="22"/>
          <w:szCs w:val="22"/>
        </w:rPr>
        <w:t xml:space="preserve"> </w:t>
      </w:r>
    </w:p>
    <w:p w14:paraId="603EEF84" w14:textId="4B4B089C" w:rsidR="005818AF" w:rsidRPr="008463CC" w:rsidRDefault="005818AF" w:rsidP="00DD1A63">
      <w:pPr>
        <w:pStyle w:val="Header"/>
        <w:numPr>
          <w:ilvl w:val="0"/>
          <w:numId w:val="5"/>
        </w:numPr>
        <w:tabs>
          <w:tab w:val="clear" w:pos="4513"/>
          <w:tab w:val="clear" w:pos="90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463CC">
        <w:rPr>
          <w:rFonts w:ascii="Calibri" w:hAnsi="Calibri" w:cs="Calibri"/>
          <w:sz w:val="22"/>
          <w:szCs w:val="22"/>
        </w:rPr>
        <w:t>Align our research and activities to external priorities and increase the acquisition of funding from a variety of external sources</w:t>
      </w:r>
      <w:r>
        <w:rPr>
          <w:rFonts w:ascii="Calibri" w:hAnsi="Calibri" w:cs="Calibri"/>
          <w:sz w:val="22"/>
          <w:szCs w:val="22"/>
        </w:rPr>
        <w:t>.</w:t>
      </w:r>
      <w:r w:rsidRPr="008463CC">
        <w:rPr>
          <w:rFonts w:ascii="Calibri" w:hAnsi="Calibri" w:cs="Calibri"/>
          <w:sz w:val="22"/>
          <w:szCs w:val="22"/>
        </w:rPr>
        <w:t xml:space="preserve"> </w:t>
      </w:r>
    </w:p>
    <w:p w14:paraId="69779097" w14:textId="47148725" w:rsidR="005818AF" w:rsidRPr="008463CC" w:rsidRDefault="005818AF" w:rsidP="00DD1A63">
      <w:pPr>
        <w:pStyle w:val="Header"/>
        <w:numPr>
          <w:ilvl w:val="0"/>
          <w:numId w:val="5"/>
        </w:numPr>
        <w:tabs>
          <w:tab w:val="clear" w:pos="4513"/>
          <w:tab w:val="clear" w:pos="9026"/>
          <w:tab w:val="num" w:pos="36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463CC">
        <w:rPr>
          <w:rFonts w:ascii="Calibri" w:hAnsi="Calibri" w:cs="Calibri"/>
          <w:sz w:val="22"/>
          <w:szCs w:val="22"/>
        </w:rPr>
        <w:t xml:space="preserve">  Promote the publication of world-leading outputs and increase the overall </w:t>
      </w:r>
      <w:r>
        <w:rPr>
          <w:rFonts w:ascii="Calibri" w:hAnsi="Calibri" w:cs="Calibri"/>
          <w:sz w:val="22"/>
          <w:szCs w:val="22"/>
        </w:rPr>
        <w:t xml:space="preserve">REF </w:t>
      </w:r>
      <w:r w:rsidRPr="008463CC">
        <w:rPr>
          <w:rFonts w:ascii="Calibri" w:hAnsi="Calibri" w:cs="Calibri"/>
          <w:sz w:val="22"/>
          <w:szCs w:val="22"/>
        </w:rPr>
        <w:t>quality profile of health research</w:t>
      </w:r>
      <w:r>
        <w:rPr>
          <w:rFonts w:ascii="Calibri" w:hAnsi="Calibri" w:cs="Calibri"/>
          <w:sz w:val="22"/>
          <w:szCs w:val="22"/>
        </w:rPr>
        <w:t>.</w:t>
      </w:r>
    </w:p>
    <w:p w14:paraId="2AF2D171" w14:textId="77777777" w:rsidR="005818AF" w:rsidRPr="008463CC" w:rsidRDefault="005818AF" w:rsidP="00DD1A63">
      <w:pPr>
        <w:pStyle w:val="Header"/>
        <w:numPr>
          <w:ilvl w:val="0"/>
          <w:numId w:val="5"/>
        </w:numPr>
        <w:tabs>
          <w:tab w:val="clear" w:pos="4513"/>
          <w:tab w:val="clear" w:pos="9026"/>
          <w:tab w:val="num" w:pos="36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463CC">
        <w:rPr>
          <w:rFonts w:ascii="Calibri" w:hAnsi="Calibri" w:cs="Calibri"/>
          <w:sz w:val="22"/>
          <w:szCs w:val="22"/>
        </w:rPr>
        <w:t xml:space="preserve">  Develop capacity and capability in focused health-related research disciplines to enable swift, targeted responses to external drivers, policy initiatives and workforce needs.</w:t>
      </w:r>
    </w:p>
    <w:p w14:paraId="46EC7B49" w14:textId="6EEABDE5" w:rsidR="005818AF" w:rsidRPr="005818AF" w:rsidRDefault="005818AF" w:rsidP="00DD1A63">
      <w:pPr>
        <w:pStyle w:val="Header"/>
        <w:numPr>
          <w:ilvl w:val="0"/>
          <w:numId w:val="5"/>
        </w:numPr>
        <w:tabs>
          <w:tab w:val="clear" w:pos="4513"/>
          <w:tab w:val="clear" w:pos="9026"/>
          <w:tab w:val="num" w:pos="360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18AF">
        <w:rPr>
          <w:rFonts w:ascii="Calibri" w:hAnsi="Calibri" w:cs="Calibri"/>
          <w:sz w:val="22"/>
          <w:szCs w:val="22"/>
        </w:rPr>
        <w:t xml:space="preserve">  Explore all potential opportunities for effective external engagement and establish productive partnerships</w:t>
      </w:r>
      <w:r>
        <w:rPr>
          <w:rFonts w:ascii="Calibri" w:hAnsi="Calibri" w:cs="Calibri"/>
          <w:sz w:val="22"/>
          <w:szCs w:val="22"/>
        </w:rPr>
        <w:t>.</w:t>
      </w:r>
    </w:p>
    <w:p w14:paraId="3E83DC59" w14:textId="77777777" w:rsidR="005818AF" w:rsidRPr="00DD1A63" w:rsidRDefault="005818AF" w:rsidP="00DD1A63">
      <w:pPr>
        <w:pStyle w:val="Header"/>
        <w:tabs>
          <w:tab w:val="clear" w:pos="4513"/>
          <w:tab w:val="clear" w:pos="9026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1A2672C5" w14:textId="3A3C6B93" w:rsidR="005147F2" w:rsidRDefault="00B100D1" w:rsidP="00C1374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6EA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Structure &amp; governance</w:t>
      </w:r>
      <w:r w:rsidR="00E47E19" w:rsidRPr="005A6E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0726D">
        <w:rPr>
          <w:rFonts w:asciiTheme="minorHAnsi" w:hAnsiTheme="minorHAnsi" w:cstheme="minorHAnsi"/>
          <w:color w:val="000000"/>
          <w:sz w:val="22"/>
          <w:szCs w:val="22"/>
        </w:rPr>
        <w:t>Membership of the IHR is inclusive and offered to all LJMU</w:t>
      </w:r>
      <w:r w:rsidR="00526035">
        <w:rPr>
          <w:rFonts w:asciiTheme="minorHAnsi" w:hAnsiTheme="minorHAnsi" w:cstheme="minorHAnsi"/>
          <w:color w:val="000000"/>
          <w:sz w:val="22"/>
          <w:szCs w:val="22"/>
        </w:rPr>
        <w:t xml:space="preserve"> staff. </w:t>
      </w:r>
      <w:r w:rsidR="005147F2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The IHR currently has </w:t>
      </w:r>
      <w:r w:rsidR="005147F2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526035">
        <w:rPr>
          <w:rFonts w:asciiTheme="minorHAnsi" w:hAnsiTheme="minorHAnsi" w:cstheme="minorHAnsi"/>
          <w:color w:val="000000"/>
          <w:sz w:val="22"/>
          <w:szCs w:val="22"/>
        </w:rPr>
        <w:t>91</w:t>
      </w:r>
      <w:r w:rsidR="005147F2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361C2">
        <w:rPr>
          <w:rFonts w:asciiTheme="minorHAnsi" w:hAnsiTheme="minorHAnsi" w:cstheme="minorHAnsi"/>
          <w:color w:val="000000"/>
          <w:sz w:val="22"/>
          <w:szCs w:val="22"/>
        </w:rPr>
        <w:t xml:space="preserve">staff </w:t>
      </w:r>
      <w:r w:rsidR="005147F2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members from across LJMU </w:t>
      </w:r>
      <w:r w:rsidR="005147F2">
        <w:rPr>
          <w:rFonts w:asciiTheme="minorHAnsi" w:hAnsiTheme="minorHAnsi" w:cstheme="minorHAnsi"/>
          <w:color w:val="000000"/>
          <w:sz w:val="22"/>
          <w:szCs w:val="22"/>
        </w:rPr>
        <w:t xml:space="preserve">and this number is steadily growing with an </w:t>
      </w:r>
      <w:r w:rsidR="00973E25">
        <w:rPr>
          <w:rFonts w:asciiTheme="minorHAnsi" w:hAnsiTheme="minorHAnsi" w:cstheme="minorHAnsi"/>
          <w:color w:val="000000"/>
          <w:sz w:val="22"/>
          <w:szCs w:val="22"/>
        </w:rPr>
        <w:t xml:space="preserve">increasing </w:t>
      </w:r>
      <w:r w:rsidR="005147F2">
        <w:rPr>
          <w:rFonts w:asciiTheme="minorHAnsi" w:hAnsiTheme="minorHAnsi" w:cstheme="minorHAnsi"/>
          <w:color w:val="000000"/>
          <w:sz w:val="22"/>
          <w:szCs w:val="22"/>
        </w:rPr>
        <w:t>awareness of the benefits of being part of the IHR research community</w:t>
      </w:r>
      <w:r w:rsidR="005147F2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06EE9">
        <w:rPr>
          <w:rFonts w:asciiTheme="minorHAnsi" w:hAnsiTheme="minorHAnsi" w:cstheme="minorHAnsi"/>
          <w:color w:val="000000"/>
          <w:sz w:val="22"/>
          <w:szCs w:val="22"/>
        </w:rPr>
        <w:t>Moving forwards, t</w:t>
      </w:r>
      <w:r w:rsidR="00C04E17">
        <w:rPr>
          <w:rFonts w:asciiTheme="minorHAnsi" w:hAnsiTheme="minorHAnsi" w:cstheme="minorHAnsi"/>
          <w:color w:val="000000"/>
          <w:sz w:val="22"/>
          <w:szCs w:val="22"/>
        </w:rPr>
        <w:t>he intention is to</w:t>
      </w:r>
      <w:r w:rsidR="00C137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D1A63">
        <w:rPr>
          <w:rFonts w:asciiTheme="minorHAnsi" w:hAnsiTheme="minorHAnsi" w:cstheme="minorHAnsi"/>
          <w:color w:val="000000"/>
          <w:sz w:val="22"/>
          <w:szCs w:val="22"/>
        </w:rPr>
        <w:t xml:space="preserve">offer membership to </w:t>
      </w:r>
      <w:r w:rsidR="00D361C2">
        <w:rPr>
          <w:rFonts w:asciiTheme="minorHAnsi" w:hAnsiTheme="minorHAnsi" w:cstheme="minorHAnsi"/>
          <w:color w:val="000000"/>
          <w:sz w:val="22"/>
          <w:szCs w:val="22"/>
        </w:rPr>
        <w:t>PhD</w:t>
      </w:r>
      <w:r w:rsidR="00526035">
        <w:rPr>
          <w:rFonts w:asciiTheme="minorHAnsi" w:hAnsiTheme="minorHAnsi" w:cstheme="minorHAnsi"/>
          <w:color w:val="000000"/>
          <w:sz w:val="22"/>
          <w:szCs w:val="22"/>
        </w:rPr>
        <w:t xml:space="preserve"> and research</w:t>
      </w:r>
      <w:r w:rsidR="00A711E9">
        <w:rPr>
          <w:rFonts w:asciiTheme="minorHAnsi" w:hAnsiTheme="minorHAnsi" w:cstheme="minorHAnsi"/>
          <w:color w:val="000000"/>
          <w:sz w:val="22"/>
          <w:szCs w:val="22"/>
        </w:rPr>
        <w:t>-based</w:t>
      </w:r>
      <w:r w:rsidR="00526035">
        <w:rPr>
          <w:rFonts w:asciiTheme="minorHAnsi" w:hAnsiTheme="minorHAnsi" w:cstheme="minorHAnsi"/>
          <w:color w:val="000000"/>
          <w:sz w:val="22"/>
          <w:szCs w:val="22"/>
        </w:rPr>
        <w:t xml:space="preserve"> MSc</w:t>
      </w:r>
      <w:r w:rsidR="00D361C2">
        <w:rPr>
          <w:rFonts w:asciiTheme="minorHAnsi" w:hAnsiTheme="minorHAnsi" w:cstheme="minorHAnsi"/>
          <w:color w:val="000000"/>
          <w:sz w:val="22"/>
          <w:szCs w:val="22"/>
        </w:rPr>
        <w:t xml:space="preserve"> students</w:t>
      </w:r>
      <w:r w:rsidR="004A0F5A">
        <w:rPr>
          <w:rFonts w:asciiTheme="minorHAnsi" w:hAnsiTheme="minorHAnsi" w:cstheme="minorHAnsi"/>
          <w:color w:val="000000"/>
          <w:sz w:val="22"/>
          <w:szCs w:val="22"/>
        </w:rPr>
        <w:t xml:space="preserve"> and professional service staff</w:t>
      </w:r>
      <w:r w:rsidR="00D361C2">
        <w:rPr>
          <w:rFonts w:asciiTheme="minorHAnsi" w:hAnsiTheme="minorHAnsi" w:cstheme="minorHAnsi"/>
          <w:color w:val="000000"/>
          <w:sz w:val="22"/>
          <w:szCs w:val="22"/>
        </w:rPr>
        <w:t xml:space="preserve"> undertaking health-related research</w:t>
      </w:r>
      <w:r w:rsidR="00016408">
        <w:rPr>
          <w:rFonts w:asciiTheme="minorHAnsi" w:hAnsiTheme="minorHAnsi" w:cstheme="minorHAnsi"/>
          <w:color w:val="000000"/>
          <w:sz w:val="22"/>
          <w:szCs w:val="22"/>
        </w:rPr>
        <w:t xml:space="preserve"> and/or internal and external engagement activities</w:t>
      </w:r>
      <w:r w:rsidR="00BE4FF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A0F5A">
        <w:rPr>
          <w:rFonts w:asciiTheme="minorHAnsi" w:hAnsiTheme="minorHAnsi" w:cstheme="minorHAnsi"/>
          <w:color w:val="000000"/>
          <w:sz w:val="22"/>
          <w:szCs w:val="22"/>
        </w:rPr>
        <w:t xml:space="preserve">In the future membership may also be offered to key </w:t>
      </w:r>
      <w:r w:rsidR="00016408">
        <w:rPr>
          <w:rFonts w:asciiTheme="minorHAnsi" w:hAnsiTheme="minorHAnsi" w:cstheme="minorHAnsi"/>
          <w:color w:val="000000"/>
          <w:sz w:val="22"/>
          <w:szCs w:val="22"/>
        </w:rPr>
        <w:t xml:space="preserve">external </w:t>
      </w:r>
      <w:r w:rsidR="004A0F5A">
        <w:rPr>
          <w:rFonts w:asciiTheme="minorHAnsi" w:hAnsiTheme="minorHAnsi" w:cstheme="minorHAnsi"/>
          <w:color w:val="000000"/>
          <w:sz w:val="22"/>
          <w:szCs w:val="22"/>
        </w:rPr>
        <w:t xml:space="preserve">collaborators. </w:t>
      </w:r>
      <w:r w:rsidR="005147F2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5147F2">
        <w:rPr>
          <w:rFonts w:asciiTheme="minorHAnsi" w:hAnsiTheme="minorHAnsi" w:cstheme="minorHAnsi"/>
          <w:color w:val="000000"/>
          <w:sz w:val="22"/>
          <w:szCs w:val="22"/>
        </w:rPr>
        <w:t xml:space="preserve">membership </w:t>
      </w:r>
      <w:r w:rsidR="005147F2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breakdown </w:t>
      </w:r>
      <w:r w:rsidR="00973E25">
        <w:rPr>
          <w:rFonts w:asciiTheme="minorHAnsi" w:hAnsiTheme="minorHAnsi" w:cstheme="minorHAnsi"/>
          <w:color w:val="000000"/>
          <w:sz w:val="22"/>
          <w:szCs w:val="22"/>
        </w:rPr>
        <w:t>across LJMU</w:t>
      </w:r>
      <w:r w:rsidR="005147F2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3E25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5147F2">
        <w:rPr>
          <w:rFonts w:asciiTheme="minorHAnsi" w:hAnsiTheme="minorHAnsi" w:cstheme="minorHAnsi"/>
          <w:color w:val="000000"/>
          <w:sz w:val="22"/>
          <w:szCs w:val="22"/>
        </w:rPr>
        <w:t>Table 1</w:t>
      </w:r>
      <w:r w:rsidR="00973E25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5147F2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indicat</w:t>
      </w:r>
      <w:r w:rsidR="00973E25">
        <w:rPr>
          <w:rFonts w:asciiTheme="minorHAnsi" w:hAnsiTheme="minorHAnsi" w:cstheme="minorHAnsi"/>
          <w:color w:val="000000"/>
          <w:sz w:val="22"/>
          <w:szCs w:val="22"/>
        </w:rPr>
        <w:t>es</w:t>
      </w:r>
      <w:r w:rsidR="005147F2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the truly cross-institutional membership of the IHR.</w:t>
      </w:r>
      <w:r w:rsidR="00D8130C" w:rsidRPr="00D813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8130C" w:rsidRPr="00FB0FBC">
        <w:rPr>
          <w:rFonts w:asciiTheme="minorHAnsi" w:hAnsiTheme="minorHAnsi" w:cstheme="minorHAnsi"/>
          <w:color w:val="000000"/>
          <w:sz w:val="22"/>
          <w:szCs w:val="22"/>
        </w:rPr>
        <w:t>Some IHR members are highly active researchers who engage fully in developing collaborative research ideas, projects and outputs where-as other</w:t>
      </w:r>
      <w:r w:rsidR="00526035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D8130C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benefit from the developmental opportunities the Institute</w:t>
      </w:r>
      <w:r w:rsidR="00E06EE9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="00D8130C" w:rsidRPr="00FB0FBC">
        <w:rPr>
          <w:rFonts w:asciiTheme="minorHAnsi" w:hAnsiTheme="minorHAnsi" w:cstheme="minorHAnsi"/>
          <w:color w:val="000000"/>
          <w:sz w:val="22"/>
          <w:szCs w:val="22"/>
        </w:rPr>
        <w:t>s workshops offer</w:t>
      </w:r>
      <w:r w:rsidR="00E06EE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8130C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where they can engage and learn from the more experienced researchers with a wide variety of interest and expertise</w:t>
      </w:r>
      <w:r w:rsidR="00E06EE9">
        <w:rPr>
          <w:rFonts w:asciiTheme="minorHAnsi" w:hAnsiTheme="minorHAnsi" w:cstheme="minorHAnsi"/>
          <w:color w:val="000000"/>
          <w:sz w:val="22"/>
          <w:szCs w:val="22"/>
        </w:rPr>
        <w:t xml:space="preserve"> (objective 2)</w:t>
      </w:r>
      <w:r w:rsidR="00D8130C" w:rsidRPr="00FB0FB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059A42E" w14:textId="1C98D0C8" w:rsidR="00963CA4" w:rsidRPr="00963CA4" w:rsidRDefault="00963CA4" w:rsidP="00C1374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449"/>
        <w:gridCol w:w="956"/>
        <w:gridCol w:w="1353"/>
        <w:gridCol w:w="1100"/>
        <w:gridCol w:w="1099"/>
        <w:gridCol w:w="1117"/>
        <w:gridCol w:w="971"/>
        <w:gridCol w:w="971"/>
      </w:tblGrid>
      <w:tr w:rsidR="00C1374B" w14:paraId="5B594827" w14:textId="60816D42" w:rsidTr="007F4C3A">
        <w:tc>
          <w:tcPr>
            <w:tcW w:w="1449" w:type="dxa"/>
          </w:tcPr>
          <w:p w14:paraId="2B46152E" w14:textId="5B4830BE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Faculty/</w:t>
            </w:r>
            <w:r w:rsidR="00C04E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Dept.</w:t>
            </w:r>
          </w:p>
        </w:tc>
        <w:tc>
          <w:tcPr>
            <w:tcW w:w="956" w:type="dxa"/>
          </w:tcPr>
          <w:p w14:paraId="3AA75B0E" w14:textId="0F98A2B1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APPS</w:t>
            </w:r>
          </w:p>
        </w:tc>
        <w:tc>
          <w:tcPr>
            <w:tcW w:w="1353" w:type="dxa"/>
          </w:tcPr>
          <w:p w14:paraId="415CFDA7" w14:textId="09BE0279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EHC</w:t>
            </w:r>
          </w:p>
        </w:tc>
        <w:tc>
          <w:tcPr>
            <w:tcW w:w="1100" w:type="dxa"/>
          </w:tcPr>
          <w:p w14:paraId="277BDA25" w14:textId="6B04405D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FET</w:t>
            </w:r>
          </w:p>
        </w:tc>
        <w:tc>
          <w:tcPr>
            <w:tcW w:w="1099" w:type="dxa"/>
          </w:tcPr>
          <w:p w14:paraId="556C7530" w14:textId="3D3FEF19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LBS</w:t>
            </w:r>
          </w:p>
        </w:tc>
        <w:tc>
          <w:tcPr>
            <w:tcW w:w="1117" w:type="dxa"/>
          </w:tcPr>
          <w:p w14:paraId="3CD891AC" w14:textId="42B33ABB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SCS</w:t>
            </w:r>
          </w:p>
        </w:tc>
        <w:tc>
          <w:tcPr>
            <w:tcW w:w="971" w:type="dxa"/>
          </w:tcPr>
          <w:p w14:paraId="590F71D1" w14:textId="0CCC1841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RIS</w:t>
            </w:r>
          </w:p>
        </w:tc>
        <w:tc>
          <w:tcPr>
            <w:tcW w:w="971" w:type="dxa"/>
          </w:tcPr>
          <w:p w14:paraId="604968F2" w14:textId="2155F97F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</w:t>
            </w:r>
          </w:p>
        </w:tc>
      </w:tr>
      <w:tr w:rsidR="00C1374B" w14:paraId="20696665" w14:textId="7BD606D3" w:rsidTr="007F4C3A">
        <w:tc>
          <w:tcPr>
            <w:tcW w:w="1449" w:type="dxa"/>
          </w:tcPr>
          <w:p w14:paraId="0B31E3C0" w14:textId="3DFAEE6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Members</w:t>
            </w:r>
          </w:p>
        </w:tc>
        <w:tc>
          <w:tcPr>
            <w:tcW w:w="956" w:type="dxa"/>
          </w:tcPr>
          <w:p w14:paraId="13FAFF97" w14:textId="09146F12" w:rsidR="00C1374B" w:rsidRPr="00973E25" w:rsidRDefault="00C1374B" w:rsidP="00C1374B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3E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3" w:type="dxa"/>
          </w:tcPr>
          <w:p w14:paraId="1F2BF83C" w14:textId="12F1B68C" w:rsidR="00C1374B" w:rsidRPr="00973E25" w:rsidRDefault="00526035" w:rsidP="00C1374B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00" w:type="dxa"/>
          </w:tcPr>
          <w:p w14:paraId="74DEC7FF" w14:textId="1DC30338" w:rsidR="00C1374B" w:rsidRPr="00973E25" w:rsidRDefault="00C1374B" w:rsidP="00C1374B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3E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99" w:type="dxa"/>
          </w:tcPr>
          <w:p w14:paraId="21AB764D" w14:textId="77AAB28F" w:rsidR="00C1374B" w:rsidRPr="00973E25" w:rsidRDefault="00526035" w:rsidP="00C1374B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</w:tcPr>
          <w:p w14:paraId="49E63AC5" w14:textId="161E32EB" w:rsidR="00C1374B" w:rsidRPr="00973E25" w:rsidRDefault="00C1374B" w:rsidP="00C1374B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3E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87</w:t>
            </w:r>
          </w:p>
        </w:tc>
        <w:tc>
          <w:tcPr>
            <w:tcW w:w="971" w:type="dxa"/>
          </w:tcPr>
          <w:p w14:paraId="7671B2A7" w14:textId="7A5134E1" w:rsidR="00C1374B" w:rsidRPr="00973E25" w:rsidRDefault="00C1374B" w:rsidP="00C1374B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71" w:type="dxa"/>
          </w:tcPr>
          <w:p w14:paraId="5CD0BD7E" w14:textId="1866A157" w:rsidR="00C1374B" w:rsidRPr="00973E25" w:rsidRDefault="00C1374B" w:rsidP="00C1374B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C1374B" w14:paraId="51E19771" w14:textId="1B3DEE18" w:rsidTr="007F4C3A">
        <w:tc>
          <w:tcPr>
            <w:tcW w:w="1449" w:type="dxa"/>
          </w:tcPr>
          <w:p w14:paraId="0689E778" w14:textId="569BBA10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 School</w:t>
            </w:r>
          </w:p>
        </w:tc>
        <w:tc>
          <w:tcPr>
            <w:tcW w:w="956" w:type="dxa"/>
          </w:tcPr>
          <w:p w14:paraId="7381919A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</w:tcPr>
          <w:p w14:paraId="4CBBA4D3" w14:textId="138765EB" w:rsidR="00C1374B" w:rsidRDefault="00610A94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NAH (</w:t>
            </w:r>
            <w:r w:rsidR="00C137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5260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C137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00" w:type="dxa"/>
          </w:tcPr>
          <w:p w14:paraId="55AF1170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83CC6E9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14:paraId="0EA7AE97" w14:textId="1880CD8F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NSP    (27)</w:t>
            </w:r>
          </w:p>
        </w:tc>
        <w:tc>
          <w:tcPr>
            <w:tcW w:w="971" w:type="dxa"/>
          </w:tcPr>
          <w:p w14:paraId="7363D6BD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14:paraId="31E3D441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374B" w14:paraId="4257F6EC" w14:textId="41649772" w:rsidTr="007F4C3A">
        <w:tc>
          <w:tcPr>
            <w:tcW w:w="1449" w:type="dxa"/>
          </w:tcPr>
          <w:p w14:paraId="567BB9EB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</w:tcPr>
          <w:p w14:paraId="63984D7A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</w:tcPr>
          <w:p w14:paraId="64E12ABE" w14:textId="5778E22A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SSLN     (6)</w:t>
            </w:r>
          </w:p>
        </w:tc>
        <w:tc>
          <w:tcPr>
            <w:tcW w:w="1100" w:type="dxa"/>
          </w:tcPr>
          <w:p w14:paraId="2D31AAAB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56D2E52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14:paraId="2896F594" w14:textId="3740A60F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PBS     (26)</w:t>
            </w:r>
          </w:p>
        </w:tc>
        <w:tc>
          <w:tcPr>
            <w:tcW w:w="971" w:type="dxa"/>
          </w:tcPr>
          <w:p w14:paraId="7B671CDD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14:paraId="4B12B772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374B" w14:paraId="63DD6445" w14:textId="7F4E53F9" w:rsidTr="007F4C3A">
        <w:tc>
          <w:tcPr>
            <w:tcW w:w="1449" w:type="dxa"/>
          </w:tcPr>
          <w:p w14:paraId="43A89280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</w:tcPr>
          <w:p w14:paraId="35091F61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A058EC6" w14:textId="663B648D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PHI       (19)</w:t>
            </w:r>
          </w:p>
        </w:tc>
        <w:tc>
          <w:tcPr>
            <w:tcW w:w="1100" w:type="dxa"/>
          </w:tcPr>
          <w:p w14:paraId="02432729" w14:textId="50EF4982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5421294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14:paraId="32CFAAEF" w14:textId="14C4C4A4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SPS     (34)</w:t>
            </w:r>
          </w:p>
        </w:tc>
        <w:tc>
          <w:tcPr>
            <w:tcW w:w="971" w:type="dxa"/>
          </w:tcPr>
          <w:p w14:paraId="189592EE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14:paraId="7AF86B25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374B" w14:paraId="17C6E5F7" w14:textId="400927E9" w:rsidTr="007F4C3A">
        <w:tc>
          <w:tcPr>
            <w:tcW w:w="1449" w:type="dxa"/>
          </w:tcPr>
          <w:p w14:paraId="3F5C95EA" w14:textId="033748D0" w:rsidR="00C1374B" w:rsidRDefault="00963CA4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E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TOTAL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 189</w:t>
            </w:r>
          </w:p>
        </w:tc>
        <w:tc>
          <w:tcPr>
            <w:tcW w:w="956" w:type="dxa"/>
          </w:tcPr>
          <w:p w14:paraId="5DF00C98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</w:tcPr>
          <w:p w14:paraId="5D201436" w14:textId="32454A32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EDU     (11)</w:t>
            </w:r>
          </w:p>
        </w:tc>
        <w:tc>
          <w:tcPr>
            <w:tcW w:w="1100" w:type="dxa"/>
          </w:tcPr>
          <w:p w14:paraId="32B43229" w14:textId="6EDE569C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5F520DE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14:paraId="67FAB38C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14:paraId="33A6A081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14:paraId="3A4CEA17" w14:textId="77777777" w:rsidR="00C1374B" w:rsidRDefault="00C1374B" w:rsidP="00C1374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2CEAF46" w14:textId="06E3EEDD" w:rsidR="00963CA4" w:rsidRPr="00963CA4" w:rsidRDefault="007F4C3A" w:rsidP="00963CA4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63CA4">
        <w:rPr>
          <w:rFonts w:asciiTheme="minorHAnsi" w:hAnsiTheme="minorHAnsi" w:cstheme="minorHAnsi"/>
          <w:i/>
          <w:noProof/>
          <w:color w:val="000000"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D11248" wp14:editId="3904B948">
                <wp:simplePos x="0" y="0"/>
                <wp:positionH relativeFrom="column">
                  <wp:posOffset>2513919</wp:posOffset>
                </wp:positionH>
                <wp:positionV relativeFrom="paragraph">
                  <wp:posOffset>65405</wp:posOffset>
                </wp:positionV>
                <wp:extent cx="1717675" cy="281305"/>
                <wp:effectExtent l="0" t="0" r="15875" b="234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E2EC8" w14:textId="48D4C87C" w:rsidR="00963CA4" w:rsidRPr="00963CA4" w:rsidRDefault="00C04E17" w:rsidP="007F4C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04737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Table 1</w:t>
                            </w:r>
                            <w:r w:rsidR="00963CA4" w:rsidRPr="00504737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. IHR membership</w:t>
                            </w:r>
                            <w:r w:rsidR="00963CA4" w:rsidRPr="00963CA4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distribution</w:t>
                            </w:r>
                          </w:p>
                          <w:p w14:paraId="06E71738" w14:textId="77777777" w:rsidR="00963CA4" w:rsidRPr="00963CA4" w:rsidRDefault="00963CA4" w:rsidP="007F4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112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95pt;margin-top:5.15pt;width:135.25pt;height:2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" strokecolor="white [3212]">
                <v:textbox>
                  <w:txbxContent>
                    <w:p w14:paraId="418E2EC8" w14:textId="48D4C87C" w:rsidR="00963CA4" w:rsidRPr="00963CA4" w:rsidRDefault="00C04E17" w:rsidP="007F4C3A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504737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  <w:t>Table 1</w:t>
                      </w:r>
                      <w:r w:rsidR="00963CA4" w:rsidRPr="00504737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  <w:t>. IHR membership</w:t>
                      </w:r>
                      <w:r w:rsidR="00963CA4" w:rsidRPr="00963CA4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distribution</w:t>
                      </w:r>
                    </w:p>
                    <w:p w14:paraId="06E71738" w14:textId="77777777" w:rsidR="00963CA4" w:rsidRPr="00963CA4" w:rsidRDefault="00963CA4" w:rsidP="007F4C3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FE1948" w14:textId="4B0CAA31" w:rsidR="00DD1A63" w:rsidRPr="00963CA4" w:rsidRDefault="00973E25" w:rsidP="00963CA4">
      <w:pPr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8130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</w:p>
    <w:p w14:paraId="281FD2A9" w14:textId="77777777" w:rsidR="00963CA4" w:rsidRPr="00963CA4" w:rsidRDefault="00963CA4" w:rsidP="00DD1A63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05E277BB" w14:textId="6C0822BB" w:rsidR="005818AF" w:rsidRDefault="00FB0FBC" w:rsidP="00DD1A6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D44743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IHR </w:t>
      </w:r>
      <w:r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is </w:t>
      </w:r>
      <w:r w:rsidR="00D44743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overseen by an </w:t>
      </w:r>
      <w:r w:rsidR="001E276A" w:rsidRPr="00FB0FBC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D44743" w:rsidRPr="00FB0FBC">
        <w:rPr>
          <w:rFonts w:asciiTheme="minorHAnsi" w:hAnsiTheme="minorHAnsi" w:cstheme="minorHAnsi"/>
          <w:color w:val="000000"/>
          <w:sz w:val="22"/>
          <w:szCs w:val="22"/>
        </w:rPr>
        <w:t>xecutive Board (</w:t>
      </w:r>
      <w:r w:rsidR="005147F2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="00D44743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igure 1) that </w:t>
      </w:r>
      <w:r w:rsidR="00A4094C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meets </w:t>
      </w:r>
      <w:r w:rsidR="001E276A" w:rsidRPr="00FB0FBC">
        <w:rPr>
          <w:rFonts w:asciiTheme="minorHAnsi" w:hAnsiTheme="minorHAnsi" w:cstheme="minorHAnsi"/>
          <w:color w:val="000000"/>
          <w:sz w:val="22"/>
          <w:szCs w:val="22"/>
        </w:rPr>
        <w:t>quarterly</w:t>
      </w:r>
      <w:r w:rsidR="00A4094C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to discuss</w:t>
      </w:r>
      <w:r w:rsidR="00D44743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094C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key strategic decisions </w:t>
      </w:r>
      <w:r w:rsidR="00DD1A63" w:rsidRPr="00FB0FBC">
        <w:rPr>
          <w:rFonts w:asciiTheme="minorHAnsi" w:hAnsiTheme="minorHAnsi" w:cstheme="minorHAnsi"/>
          <w:color w:val="000000"/>
          <w:sz w:val="22"/>
          <w:szCs w:val="22"/>
        </w:rPr>
        <w:t>regarding external</w:t>
      </w:r>
      <w:r w:rsidR="00A4094C"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collaborations, research direction and funding. </w:t>
      </w:r>
    </w:p>
    <w:p w14:paraId="6F67673F" w14:textId="0F294B29" w:rsidR="00963CA4" w:rsidRDefault="00FA6C9C" w:rsidP="007F4C3A">
      <w:pPr>
        <w:ind w:left="28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6EA4">
        <w:rPr>
          <w:rFonts w:asciiTheme="minorHAnsi" w:hAnsiTheme="minorHAnsi" w:cstheme="minorHAnsi"/>
          <w:noProof/>
          <w:color w:val="000000"/>
          <w:sz w:val="22"/>
          <w:szCs w:val="22"/>
          <w:lang w:eastAsia="en-GB"/>
        </w:rPr>
        <w:drawing>
          <wp:anchor distT="0" distB="0" distL="114300" distR="114300" simplePos="0" relativeHeight="251657216" behindDoc="0" locked="0" layoutInCell="1" allowOverlap="1" wp14:anchorId="298FD502" wp14:editId="15E256C8">
            <wp:simplePos x="0" y="0"/>
            <wp:positionH relativeFrom="column">
              <wp:posOffset>914400</wp:posOffset>
            </wp:positionH>
            <wp:positionV relativeFrom="paragraph">
              <wp:posOffset>66675</wp:posOffset>
            </wp:positionV>
            <wp:extent cx="5088890" cy="15614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3" t="29968" r="12867" b="29526"/>
                    <a:stretch/>
                  </pic:blipFill>
                  <pic:spPr bwMode="auto">
                    <a:xfrm>
                      <a:off x="0" y="0"/>
                      <a:ext cx="5088890" cy="156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F4843" w14:textId="4AD5DC3D" w:rsidR="00963CA4" w:rsidRDefault="00963CA4" w:rsidP="00DD1A6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D561EB" w14:textId="2CFD64CF" w:rsidR="00963CA4" w:rsidRDefault="00963CA4" w:rsidP="00DD1A6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2D388C" w14:textId="77777777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0B6CA45" w14:textId="77777777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F25C023" w14:textId="77777777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6E46C17" w14:textId="77777777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7F30AAA" w14:textId="77777777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604D4E4" w14:textId="3952362B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092A4AD" w14:textId="4A7CC985" w:rsidR="00963CA4" w:rsidRDefault="00963CA4" w:rsidP="00963CA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4E8804" w14:textId="57D890DD" w:rsidR="00963CA4" w:rsidRDefault="00FA6C9C" w:rsidP="00963CA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1A63">
        <w:rPr>
          <w:rFonts w:asciiTheme="minorHAnsi" w:hAnsiTheme="minorHAnsi" w:cstheme="minorHAnsi"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D71506" wp14:editId="3A892332">
                <wp:simplePos x="0" y="0"/>
                <wp:positionH relativeFrom="column">
                  <wp:posOffset>2065983</wp:posOffset>
                </wp:positionH>
                <wp:positionV relativeFrom="paragraph">
                  <wp:posOffset>90721</wp:posOffset>
                </wp:positionV>
                <wp:extent cx="2360930" cy="281305"/>
                <wp:effectExtent l="0" t="0" r="2794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46A23" w14:textId="027FF791" w:rsidR="00DD1A63" w:rsidRPr="00504737" w:rsidRDefault="00DD1A63" w:rsidP="00DD1A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4737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Figure 1. The Executive Board</w:t>
                            </w:r>
                          </w:p>
                          <w:p w14:paraId="31ECA087" w14:textId="31D99042" w:rsidR="00DD1A63" w:rsidRDefault="00DD1A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1506" id="_x0000_s1027" type="#_x0000_t202" style="position:absolute;left:0;text-align:left;margin-left:162.7pt;margin-top:7.15pt;width:185.9pt;height:22.1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" strokecolor="white [3212]">
                <v:textbox>
                  <w:txbxContent>
                    <w:p w14:paraId="1A146A23" w14:textId="027FF791" w:rsidR="00DD1A63" w:rsidRPr="00504737" w:rsidRDefault="00DD1A63" w:rsidP="00DD1A6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504737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  <w:t>Figure 1. The Executive Board</w:t>
                      </w:r>
                    </w:p>
                    <w:p w14:paraId="31ECA087" w14:textId="31D99042" w:rsidR="00DD1A63" w:rsidRDefault="00DD1A63"/>
                  </w:txbxContent>
                </v:textbox>
                <w10:wrap type="square"/>
              </v:shape>
            </w:pict>
          </mc:Fallback>
        </mc:AlternateContent>
      </w:r>
    </w:p>
    <w:p w14:paraId="4771F2AB" w14:textId="7FBEDAB0" w:rsidR="00FA6C9C" w:rsidRDefault="00FA6C9C" w:rsidP="00963CA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295D8F3" w14:textId="2A3A631A" w:rsidR="00FA6C9C" w:rsidRDefault="00FA6C9C" w:rsidP="00963CA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164809" w14:textId="301DD8F5" w:rsidR="00963CA4" w:rsidRDefault="00963CA4" w:rsidP="00963CA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0FBC">
        <w:rPr>
          <w:rFonts w:asciiTheme="minorHAnsi" w:hAnsiTheme="minorHAnsi" w:cstheme="minorHAnsi"/>
          <w:color w:val="000000"/>
          <w:sz w:val="22"/>
          <w:szCs w:val="22"/>
        </w:rPr>
        <w:t>The Advisory Board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(Figure 2)</w:t>
      </w:r>
      <w:r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meets bimonthly to disseminate and review ongoing research activities within</w:t>
      </w:r>
      <w:r w:rsidR="00D20FB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the IHR</w:t>
      </w:r>
      <w:r w:rsidR="00E06EE9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IHR interest groups</w:t>
      </w:r>
      <w:r w:rsidR="00E06EE9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contributing schools</w:t>
      </w:r>
      <w:r w:rsidR="00D20FB0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FB0FBC">
        <w:rPr>
          <w:rFonts w:asciiTheme="minorHAnsi" w:hAnsiTheme="minorHAnsi" w:cstheme="minorHAnsi"/>
          <w:color w:val="000000"/>
          <w:sz w:val="22"/>
          <w:szCs w:val="22"/>
        </w:rPr>
        <w:t>research institutes</w:t>
      </w:r>
      <w:r w:rsidR="00E06EE9">
        <w:rPr>
          <w:rFonts w:asciiTheme="minorHAnsi" w:hAnsiTheme="minorHAnsi" w:cstheme="minorHAnsi"/>
          <w:color w:val="000000"/>
          <w:sz w:val="22"/>
          <w:szCs w:val="22"/>
        </w:rPr>
        <w:t>/centres;</w:t>
      </w:r>
      <w:r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and external meetings. The minutes from thi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 group are </w:t>
      </w:r>
      <w:r w:rsidRPr="00FB0FBC">
        <w:rPr>
          <w:rFonts w:asciiTheme="minorHAnsi" w:hAnsiTheme="minorHAnsi" w:cstheme="minorHAnsi"/>
          <w:color w:val="000000"/>
          <w:sz w:val="22"/>
          <w:szCs w:val="22"/>
        </w:rPr>
        <w:t>reported to the Executive Board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there is good communication between the two </w:t>
      </w:r>
      <w:r w:rsidR="00D20FB0">
        <w:rPr>
          <w:rFonts w:asciiTheme="minorHAnsi" w:hAnsiTheme="minorHAnsi" w:cstheme="minorHAnsi"/>
          <w:color w:val="000000"/>
          <w:sz w:val="22"/>
          <w:szCs w:val="22"/>
        </w:rPr>
        <w:t>B</w:t>
      </w:r>
      <w:r>
        <w:rPr>
          <w:rFonts w:asciiTheme="minorHAnsi" w:hAnsiTheme="minorHAnsi" w:cstheme="minorHAnsi"/>
          <w:color w:val="000000"/>
          <w:sz w:val="22"/>
          <w:szCs w:val="22"/>
        </w:rPr>
        <w:t>oards.</w:t>
      </w:r>
    </w:p>
    <w:p w14:paraId="5B5A818C" w14:textId="345DCD9A" w:rsidR="00963CA4" w:rsidRDefault="00963CA4" w:rsidP="00963CA4">
      <w:pPr>
        <w:rPr>
          <w:rFonts w:asciiTheme="minorHAnsi" w:hAnsiTheme="minorHAnsi" w:cstheme="minorHAnsi"/>
          <w:noProof/>
          <w:color w:val="000000"/>
          <w:sz w:val="22"/>
          <w:szCs w:val="22"/>
          <w:lang w:eastAsia="en-GB"/>
        </w:rPr>
      </w:pPr>
    </w:p>
    <w:p w14:paraId="6AA9A1F2" w14:textId="54BFC0F6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93D0D">
        <w:rPr>
          <w:rFonts w:asciiTheme="minorHAnsi" w:hAnsiTheme="minorHAnsi" w:cstheme="minorHAnsi"/>
          <w:noProof/>
          <w:color w:val="000000"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323928E6" wp14:editId="335F3D71">
            <wp:simplePos x="0" y="0"/>
            <wp:positionH relativeFrom="column">
              <wp:posOffset>1487156</wp:posOffset>
            </wp:positionH>
            <wp:positionV relativeFrom="paragraph">
              <wp:posOffset>50241</wp:posOffset>
            </wp:positionV>
            <wp:extent cx="3435985" cy="22352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6" t="16979" r="32288" b="41098"/>
                    <a:stretch/>
                  </pic:blipFill>
                  <pic:spPr bwMode="auto">
                    <a:xfrm>
                      <a:off x="0" y="0"/>
                      <a:ext cx="3435985" cy="223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9DD7A" w14:textId="77777777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6ADE83F" w14:textId="76429814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BA0A049" w14:textId="4232D781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FE3153" w14:textId="7B608C33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7131722" w14:textId="28549628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EC145D1" w14:textId="5C1B60E3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CC5F4A8" w14:textId="369D856F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55091B0" w14:textId="0565ADA9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46DEC96" w14:textId="3D46FB50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05DC03C" w14:textId="66D6C2B9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3091AFA" w14:textId="2376E1AF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6736A3F" w14:textId="68CA8F78" w:rsidR="00963CA4" w:rsidRDefault="00504737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D1A63">
        <w:rPr>
          <w:rFonts w:asciiTheme="minorHAnsi" w:hAnsiTheme="minorHAnsi" w:cstheme="minorHAnsi"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3E3C4E9" wp14:editId="453775E2">
                <wp:simplePos x="0" y="0"/>
                <wp:positionH relativeFrom="column">
                  <wp:posOffset>1979295</wp:posOffset>
                </wp:positionH>
                <wp:positionV relativeFrom="paragraph">
                  <wp:posOffset>148590</wp:posOffset>
                </wp:positionV>
                <wp:extent cx="2360930" cy="250825"/>
                <wp:effectExtent l="0" t="0" r="2794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F443F" w14:textId="77777777" w:rsidR="00DD1A63" w:rsidRPr="00504737" w:rsidRDefault="00DD1A63" w:rsidP="00DD1A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4737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Figure 2. The Advisory Board</w:t>
                            </w:r>
                          </w:p>
                          <w:p w14:paraId="340A2A69" w14:textId="716CF859" w:rsidR="00DD1A63" w:rsidRDefault="00DD1A63" w:rsidP="00DD1A63"/>
                          <w:p w14:paraId="7C805714" w14:textId="77777777" w:rsidR="00963CA4" w:rsidRDefault="00963CA4" w:rsidP="00DD1A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3C4E9" id="_x0000_s1028" type="#_x0000_t202" style="position:absolute;margin-left:155.85pt;margin-top:11.7pt;width:185.9pt;height:19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" strokecolor="white [3212]">
                <v:textbox>
                  <w:txbxContent>
                    <w:p w14:paraId="779F443F" w14:textId="77777777" w:rsidR="00DD1A63" w:rsidRPr="00504737" w:rsidRDefault="00DD1A63" w:rsidP="00DD1A6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504737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  <w:t>Figure 2. The Advisory Board</w:t>
                      </w:r>
                    </w:p>
                    <w:p w14:paraId="340A2A69" w14:textId="716CF859" w:rsidR="00DD1A63" w:rsidRDefault="00DD1A63" w:rsidP="00DD1A63"/>
                    <w:p w14:paraId="7C805714" w14:textId="77777777" w:rsidR="00963CA4" w:rsidRDefault="00963CA4" w:rsidP="00DD1A63"/>
                  </w:txbxContent>
                </v:textbox>
                <w10:wrap type="square"/>
              </v:shape>
            </w:pict>
          </mc:Fallback>
        </mc:AlternateContent>
      </w:r>
    </w:p>
    <w:p w14:paraId="5253E8DC" w14:textId="26F59505" w:rsidR="00963CA4" w:rsidRDefault="00963CA4" w:rsidP="00963CA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662A3A7" w14:textId="77777777" w:rsidR="00504737" w:rsidRPr="00504737" w:rsidRDefault="00504737" w:rsidP="00963CA4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05B711D1" w14:textId="2A4086D1" w:rsidR="00DD1A63" w:rsidRPr="00FB0FBC" w:rsidRDefault="00A4094C" w:rsidP="00C87CF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Research within the IHR is currently organised </w:t>
      </w:r>
      <w:r w:rsidR="00C1374B">
        <w:rPr>
          <w:rFonts w:asciiTheme="minorHAnsi" w:hAnsiTheme="minorHAnsi" w:cstheme="minorHAnsi"/>
          <w:color w:val="000000"/>
          <w:sz w:val="22"/>
          <w:szCs w:val="22"/>
        </w:rPr>
        <w:t>within</w:t>
      </w:r>
      <w:r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2241D">
        <w:rPr>
          <w:rFonts w:asciiTheme="minorHAnsi" w:hAnsiTheme="minorHAnsi" w:cstheme="minorHAnsi"/>
          <w:color w:val="000000"/>
          <w:sz w:val="22"/>
          <w:szCs w:val="22"/>
        </w:rPr>
        <w:t>eight</w:t>
      </w:r>
      <w:r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interest groups (Figure 3) that </w:t>
      </w:r>
      <w:r w:rsidR="0062241D">
        <w:rPr>
          <w:rFonts w:asciiTheme="minorHAnsi" w:hAnsiTheme="minorHAnsi" w:cstheme="minorHAnsi"/>
          <w:color w:val="000000"/>
          <w:sz w:val="22"/>
          <w:szCs w:val="22"/>
        </w:rPr>
        <w:t>capture the</w:t>
      </w:r>
      <w:r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relevant research</w:t>
      </w:r>
      <w:r w:rsidR="0062241D">
        <w:rPr>
          <w:rFonts w:asciiTheme="minorHAnsi" w:hAnsiTheme="minorHAnsi" w:cstheme="minorHAnsi"/>
          <w:color w:val="000000"/>
          <w:sz w:val="22"/>
          <w:szCs w:val="22"/>
        </w:rPr>
        <w:t xml:space="preserve"> activities </w:t>
      </w:r>
      <w:r w:rsidR="00963CA4">
        <w:rPr>
          <w:rFonts w:asciiTheme="minorHAnsi" w:hAnsiTheme="minorHAnsi" w:cstheme="minorHAnsi"/>
          <w:color w:val="000000"/>
          <w:sz w:val="22"/>
          <w:szCs w:val="22"/>
        </w:rPr>
        <w:t xml:space="preserve">across </w:t>
      </w:r>
      <w:r w:rsidRPr="00FB0FBC">
        <w:rPr>
          <w:rFonts w:asciiTheme="minorHAnsi" w:hAnsiTheme="minorHAnsi" w:cstheme="minorHAnsi"/>
          <w:color w:val="000000"/>
          <w:sz w:val="22"/>
          <w:szCs w:val="22"/>
        </w:rPr>
        <w:t>the IHR</w:t>
      </w:r>
      <w:r w:rsidR="0062241D">
        <w:rPr>
          <w:rFonts w:asciiTheme="minorHAnsi" w:hAnsiTheme="minorHAnsi" w:cstheme="minorHAnsi"/>
          <w:color w:val="000000"/>
          <w:sz w:val="22"/>
          <w:szCs w:val="22"/>
        </w:rPr>
        <w:t xml:space="preserve"> and feed into external local research priorities</w:t>
      </w:r>
      <w:r w:rsidR="00504737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="00016408">
        <w:rPr>
          <w:rFonts w:asciiTheme="minorHAnsi" w:hAnsiTheme="minorHAnsi" w:cstheme="minorHAnsi"/>
          <w:color w:val="000000"/>
          <w:sz w:val="22"/>
          <w:szCs w:val="22"/>
        </w:rPr>
        <w:t>also support internal and external engagement projects</w:t>
      </w:r>
      <w:r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. Each group is led by one or </w:t>
      </w:r>
      <w:r w:rsidR="00963CA4" w:rsidRPr="00FB0FBC">
        <w:rPr>
          <w:rFonts w:asciiTheme="minorHAnsi" w:hAnsiTheme="minorHAnsi" w:cstheme="minorHAnsi"/>
          <w:color w:val="000000"/>
          <w:sz w:val="22"/>
          <w:szCs w:val="22"/>
        </w:rPr>
        <w:t>two co</w:t>
      </w:r>
      <w:r w:rsidRPr="00FB0FBC">
        <w:rPr>
          <w:rFonts w:asciiTheme="minorHAnsi" w:hAnsiTheme="minorHAnsi" w:cstheme="minorHAnsi"/>
          <w:color w:val="000000"/>
          <w:sz w:val="22"/>
          <w:szCs w:val="22"/>
        </w:rPr>
        <w:t>-ordinators who steer the group research direction, priorities and activities, reporting</w:t>
      </w:r>
      <w:r w:rsidR="0062241D">
        <w:rPr>
          <w:rFonts w:asciiTheme="minorHAnsi" w:hAnsiTheme="minorHAnsi" w:cstheme="minorHAnsi"/>
          <w:color w:val="000000"/>
          <w:sz w:val="22"/>
          <w:szCs w:val="22"/>
        </w:rPr>
        <w:t xml:space="preserve"> via Head of IHR</w:t>
      </w:r>
      <w:r w:rsidRPr="00FB0FBC">
        <w:rPr>
          <w:rFonts w:asciiTheme="minorHAnsi" w:hAnsiTheme="minorHAnsi" w:cstheme="minorHAnsi"/>
          <w:color w:val="000000"/>
          <w:sz w:val="22"/>
          <w:szCs w:val="22"/>
        </w:rPr>
        <w:t xml:space="preserve"> to the Advisory Board.</w:t>
      </w:r>
      <w:r w:rsidR="00973E25" w:rsidRPr="00973E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8130C" w:rsidRPr="00FB0FBC">
        <w:rPr>
          <w:rFonts w:asciiTheme="minorHAnsi" w:hAnsiTheme="minorHAnsi" w:cstheme="minorHAnsi"/>
          <w:color w:val="000000"/>
          <w:sz w:val="22"/>
          <w:szCs w:val="22"/>
        </w:rPr>
        <w:t>Many IHR members contribute to more than one Interest Group</w:t>
      </w:r>
      <w:r w:rsidR="00C1374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224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955802E" w14:textId="255361FB" w:rsidR="00695849" w:rsidRPr="008A122F" w:rsidRDefault="0062241D" w:rsidP="008A122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2241D">
        <w:rPr>
          <w:rFonts w:asciiTheme="minorHAnsi" w:hAnsiTheme="minorHAnsi" w:cstheme="minorHAnsi"/>
          <w:noProof/>
          <w:color w:val="000000"/>
          <w:sz w:val="22"/>
          <w:szCs w:val="22"/>
          <w:lang w:eastAsia="en-GB"/>
        </w:rPr>
        <w:drawing>
          <wp:inline distT="0" distB="0" distL="0" distR="0" wp14:anchorId="645A3EE5" wp14:editId="521D4A90">
            <wp:extent cx="5736072" cy="1657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064" t="32921" r="12951" b="34725"/>
                    <a:stretch/>
                  </pic:blipFill>
                  <pic:spPr bwMode="auto">
                    <a:xfrm>
                      <a:off x="0" y="0"/>
                      <a:ext cx="5774569" cy="1668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545F1B" w14:textId="40F0A598" w:rsidR="00A4642F" w:rsidRPr="00504737" w:rsidRDefault="00A4094C" w:rsidP="00695849">
      <w:pPr>
        <w:jc w:val="center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504737">
        <w:rPr>
          <w:rFonts w:asciiTheme="minorHAnsi" w:hAnsiTheme="minorHAnsi" w:cstheme="minorHAnsi"/>
          <w:i/>
          <w:color w:val="000000"/>
          <w:sz w:val="20"/>
          <w:szCs w:val="20"/>
        </w:rPr>
        <w:t>Figure 3: IHR</w:t>
      </w:r>
      <w:r w:rsidR="008A122F" w:rsidRPr="0050473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Research</w:t>
      </w:r>
      <w:r w:rsidRPr="0050473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Structure</w:t>
      </w:r>
    </w:p>
    <w:p w14:paraId="6B0D80AC" w14:textId="77777777" w:rsidR="00963CA4" w:rsidRPr="00C87CF6" w:rsidRDefault="00963CA4" w:rsidP="00695849">
      <w:pPr>
        <w:jc w:val="center"/>
        <w:rPr>
          <w:rFonts w:asciiTheme="minorHAnsi" w:hAnsiTheme="minorHAnsi" w:cstheme="minorHAnsi"/>
          <w:i/>
          <w:color w:val="000000"/>
          <w:sz w:val="10"/>
          <w:szCs w:val="10"/>
        </w:rPr>
      </w:pPr>
    </w:p>
    <w:p w14:paraId="31E60D4B" w14:textId="092E0CB6" w:rsidR="00385A57" w:rsidRPr="00EC1288" w:rsidRDefault="00B100D1" w:rsidP="00C1374B">
      <w:pPr>
        <w:jc w:val="both"/>
        <w:rPr>
          <w:rFonts w:asciiTheme="minorHAnsi" w:hAnsiTheme="minorHAnsi" w:cstheme="minorHAnsi"/>
          <w:sz w:val="22"/>
          <w:szCs w:val="22"/>
        </w:rPr>
      </w:pPr>
      <w:r w:rsidRPr="005A6EA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Strategic alignment</w:t>
      </w:r>
      <w:r w:rsidR="00E47E19" w:rsidRPr="005A6E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8610F" w:rsidRPr="000F6F25">
        <w:rPr>
          <w:rFonts w:ascii="Calibri" w:hAnsi="Calibri"/>
          <w:sz w:val="22"/>
          <w:szCs w:val="22"/>
        </w:rPr>
        <w:t xml:space="preserve">The IHR contributes to the LJMU strategic plan by supporting a culture of </w:t>
      </w:r>
      <w:r w:rsidR="007F491F">
        <w:rPr>
          <w:rFonts w:ascii="Calibri" w:hAnsi="Calibri"/>
          <w:sz w:val="22"/>
          <w:szCs w:val="22"/>
        </w:rPr>
        <w:t xml:space="preserve">excellence in </w:t>
      </w:r>
      <w:r w:rsidR="00016408">
        <w:rPr>
          <w:rFonts w:ascii="Calibri" w:hAnsi="Calibri"/>
          <w:sz w:val="22"/>
          <w:szCs w:val="22"/>
        </w:rPr>
        <w:t xml:space="preserve">research, </w:t>
      </w:r>
      <w:r w:rsidR="00B8610F" w:rsidRPr="000F6F25">
        <w:rPr>
          <w:rFonts w:ascii="Calibri" w:hAnsi="Calibri"/>
          <w:sz w:val="22"/>
          <w:szCs w:val="22"/>
        </w:rPr>
        <w:t>scholarship</w:t>
      </w:r>
      <w:r w:rsidR="00016408">
        <w:rPr>
          <w:rFonts w:ascii="Calibri" w:hAnsi="Calibri"/>
          <w:sz w:val="22"/>
          <w:szCs w:val="22"/>
        </w:rPr>
        <w:t xml:space="preserve"> and external engagement</w:t>
      </w:r>
      <w:r w:rsidR="004A0F5A">
        <w:rPr>
          <w:rFonts w:ascii="Calibri" w:hAnsi="Calibri"/>
          <w:sz w:val="22"/>
          <w:szCs w:val="22"/>
        </w:rPr>
        <w:t>.</w:t>
      </w:r>
      <w:r w:rsidR="00C04E17">
        <w:rPr>
          <w:rFonts w:ascii="Calibri" w:hAnsi="Calibri"/>
          <w:sz w:val="22"/>
          <w:szCs w:val="22"/>
        </w:rPr>
        <w:t xml:space="preserve"> </w:t>
      </w:r>
      <w:r w:rsidR="004A0F5A">
        <w:rPr>
          <w:rFonts w:ascii="Calibri" w:hAnsi="Calibri"/>
          <w:sz w:val="22"/>
          <w:szCs w:val="22"/>
        </w:rPr>
        <w:t>It</w:t>
      </w:r>
      <w:r w:rsidR="00C04E17">
        <w:rPr>
          <w:rFonts w:ascii="Calibri" w:hAnsi="Calibri"/>
          <w:sz w:val="22"/>
          <w:szCs w:val="22"/>
        </w:rPr>
        <w:t xml:space="preserve"> </w:t>
      </w:r>
      <w:r w:rsidR="00B8610F" w:rsidRPr="000F6F25">
        <w:rPr>
          <w:rFonts w:ascii="Calibri" w:hAnsi="Calibri"/>
          <w:sz w:val="22"/>
          <w:szCs w:val="22"/>
        </w:rPr>
        <w:t xml:space="preserve">encourages and facilitates collaboration, not just between </w:t>
      </w:r>
      <w:r w:rsidR="00B8055B">
        <w:rPr>
          <w:rFonts w:ascii="Calibri" w:hAnsi="Calibri"/>
          <w:sz w:val="22"/>
          <w:szCs w:val="22"/>
        </w:rPr>
        <w:t xml:space="preserve">researchers </w:t>
      </w:r>
      <w:r w:rsidR="00B8610F" w:rsidRPr="000F6F25">
        <w:rPr>
          <w:rFonts w:ascii="Calibri" w:hAnsi="Calibri"/>
          <w:sz w:val="22"/>
          <w:szCs w:val="22"/>
        </w:rPr>
        <w:t>within LJMU but extend</w:t>
      </w:r>
      <w:r w:rsidR="00E06EE9">
        <w:rPr>
          <w:rFonts w:ascii="Calibri" w:hAnsi="Calibri"/>
          <w:sz w:val="22"/>
          <w:szCs w:val="22"/>
        </w:rPr>
        <w:t>ing</w:t>
      </w:r>
      <w:r w:rsidR="00B8055B">
        <w:rPr>
          <w:rFonts w:ascii="Calibri" w:hAnsi="Calibri"/>
          <w:sz w:val="22"/>
          <w:szCs w:val="22"/>
        </w:rPr>
        <w:t xml:space="preserve"> to those</w:t>
      </w:r>
      <w:r w:rsidR="00B8610F" w:rsidRPr="000F6F25">
        <w:rPr>
          <w:rFonts w:ascii="Calibri" w:hAnsi="Calibri"/>
          <w:sz w:val="22"/>
          <w:szCs w:val="22"/>
        </w:rPr>
        <w:t xml:space="preserve"> working in the health services, </w:t>
      </w:r>
      <w:r w:rsidR="00B8055B">
        <w:rPr>
          <w:rFonts w:ascii="Calibri" w:hAnsi="Calibri"/>
          <w:sz w:val="22"/>
          <w:szCs w:val="22"/>
        </w:rPr>
        <w:t xml:space="preserve">the commercial sector, </w:t>
      </w:r>
      <w:r w:rsidR="00B8610F" w:rsidRPr="000F6F25">
        <w:rPr>
          <w:rFonts w:ascii="Calibri" w:hAnsi="Calibri"/>
          <w:sz w:val="22"/>
          <w:szCs w:val="22"/>
        </w:rPr>
        <w:t>and also with patient popu</w:t>
      </w:r>
      <w:r w:rsidR="00016408">
        <w:rPr>
          <w:rFonts w:ascii="Calibri" w:hAnsi="Calibri"/>
          <w:sz w:val="22"/>
          <w:szCs w:val="22"/>
        </w:rPr>
        <w:t>lations and local communities. The IHR works alongside other</w:t>
      </w:r>
      <w:r w:rsidR="00B8610F" w:rsidRPr="000F6F25">
        <w:rPr>
          <w:rFonts w:ascii="Calibri" w:hAnsi="Calibri"/>
          <w:sz w:val="22"/>
          <w:szCs w:val="22"/>
        </w:rPr>
        <w:t xml:space="preserve"> </w:t>
      </w:r>
      <w:r w:rsidR="008954FD">
        <w:rPr>
          <w:rFonts w:ascii="Calibri" w:hAnsi="Calibri"/>
          <w:sz w:val="22"/>
          <w:szCs w:val="22"/>
        </w:rPr>
        <w:t>local</w:t>
      </w:r>
      <w:r w:rsidR="005A6EA4">
        <w:rPr>
          <w:rFonts w:ascii="Calibri" w:hAnsi="Calibri"/>
          <w:sz w:val="22"/>
          <w:szCs w:val="22"/>
        </w:rPr>
        <w:t>, regional, national and</w:t>
      </w:r>
      <w:r w:rsidR="008954FD">
        <w:rPr>
          <w:rFonts w:ascii="Calibri" w:hAnsi="Calibri"/>
          <w:sz w:val="22"/>
          <w:szCs w:val="22"/>
        </w:rPr>
        <w:t xml:space="preserve"> </w:t>
      </w:r>
      <w:r w:rsidR="00B8610F" w:rsidRPr="000F6F25">
        <w:rPr>
          <w:rFonts w:ascii="Calibri" w:hAnsi="Calibri"/>
          <w:sz w:val="22"/>
          <w:szCs w:val="22"/>
        </w:rPr>
        <w:t xml:space="preserve">international research communities </w:t>
      </w:r>
      <w:r w:rsidR="004A0F5A">
        <w:rPr>
          <w:rFonts w:ascii="Calibri" w:hAnsi="Calibri"/>
          <w:sz w:val="22"/>
          <w:szCs w:val="22"/>
        </w:rPr>
        <w:t xml:space="preserve">(figure 5) </w:t>
      </w:r>
      <w:r w:rsidR="00B8610F" w:rsidRPr="000F6F25">
        <w:rPr>
          <w:rFonts w:ascii="Calibri" w:hAnsi="Calibri"/>
          <w:sz w:val="22"/>
          <w:szCs w:val="22"/>
        </w:rPr>
        <w:t xml:space="preserve">to ensure that </w:t>
      </w:r>
      <w:r w:rsidR="001A030B">
        <w:rPr>
          <w:rFonts w:ascii="Calibri" w:hAnsi="Calibri"/>
          <w:sz w:val="22"/>
          <w:szCs w:val="22"/>
        </w:rPr>
        <w:t>our</w:t>
      </w:r>
      <w:r w:rsidR="00B8610F" w:rsidRPr="000F6F25">
        <w:rPr>
          <w:rFonts w:ascii="Calibri" w:hAnsi="Calibri"/>
          <w:sz w:val="22"/>
          <w:szCs w:val="22"/>
        </w:rPr>
        <w:t xml:space="preserve"> research is recognised as world class</w:t>
      </w:r>
      <w:r w:rsidR="00E06EE9">
        <w:rPr>
          <w:rFonts w:ascii="Calibri" w:hAnsi="Calibri"/>
          <w:sz w:val="22"/>
          <w:szCs w:val="22"/>
        </w:rPr>
        <w:t>,</w:t>
      </w:r>
      <w:r w:rsidR="00B8610F" w:rsidRPr="000F6F25">
        <w:rPr>
          <w:rFonts w:ascii="Calibri" w:hAnsi="Calibri"/>
          <w:sz w:val="22"/>
          <w:szCs w:val="22"/>
        </w:rPr>
        <w:t xml:space="preserve"> and funding opportunities that encourage staff exchanges, meetings and collaboration</w:t>
      </w:r>
      <w:r w:rsidR="008954FD">
        <w:rPr>
          <w:rFonts w:ascii="Calibri" w:hAnsi="Calibri"/>
          <w:sz w:val="22"/>
          <w:szCs w:val="22"/>
        </w:rPr>
        <w:t xml:space="preserve"> within the Liverpool City region and</w:t>
      </w:r>
      <w:r w:rsidR="00B8610F" w:rsidRPr="000F6F25">
        <w:rPr>
          <w:rFonts w:ascii="Calibri" w:hAnsi="Calibri"/>
          <w:sz w:val="22"/>
          <w:szCs w:val="22"/>
        </w:rPr>
        <w:t xml:space="preserve"> across the globe are embraced</w:t>
      </w:r>
      <w:r w:rsidR="005818AF">
        <w:rPr>
          <w:rFonts w:ascii="Calibri" w:hAnsi="Calibri"/>
          <w:sz w:val="22"/>
          <w:szCs w:val="22"/>
        </w:rPr>
        <w:t xml:space="preserve"> (objective 5)</w:t>
      </w:r>
      <w:r w:rsidR="005A6EA4">
        <w:rPr>
          <w:rFonts w:ascii="Calibri" w:hAnsi="Calibri"/>
          <w:sz w:val="22"/>
          <w:szCs w:val="22"/>
        </w:rPr>
        <w:t xml:space="preserve">. </w:t>
      </w:r>
      <w:r w:rsidR="005708CA" w:rsidRPr="00D838B6">
        <w:rPr>
          <w:rFonts w:asciiTheme="minorHAnsi" w:hAnsiTheme="minorHAnsi" w:cstheme="minorHAnsi"/>
          <w:sz w:val="22"/>
          <w:szCs w:val="22"/>
        </w:rPr>
        <w:t xml:space="preserve">The IHR is an important contributor to </w:t>
      </w:r>
      <w:r w:rsidR="00016408">
        <w:rPr>
          <w:rFonts w:asciiTheme="minorHAnsi" w:hAnsiTheme="minorHAnsi" w:cstheme="minorHAnsi"/>
          <w:sz w:val="22"/>
          <w:szCs w:val="22"/>
        </w:rPr>
        <w:t>involving</w:t>
      </w:r>
      <w:r w:rsidR="005708CA" w:rsidRPr="00D838B6">
        <w:rPr>
          <w:rFonts w:asciiTheme="minorHAnsi" w:hAnsiTheme="minorHAnsi" w:cstheme="minorHAnsi"/>
          <w:sz w:val="22"/>
          <w:szCs w:val="22"/>
        </w:rPr>
        <w:t xml:space="preserve"> researchers </w:t>
      </w:r>
      <w:r w:rsidR="00016408">
        <w:rPr>
          <w:rFonts w:asciiTheme="minorHAnsi" w:hAnsiTheme="minorHAnsi" w:cstheme="minorHAnsi"/>
          <w:sz w:val="22"/>
          <w:szCs w:val="22"/>
        </w:rPr>
        <w:t xml:space="preserve">in the REF process </w:t>
      </w:r>
      <w:r w:rsidR="005708CA" w:rsidRPr="00D838B6">
        <w:rPr>
          <w:rFonts w:asciiTheme="minorHAnsi" w:hAnsiTheme="minorHAnsi" w:cstheme="minorHAnsi"/>
          <w:sz w:val="22"/>
          <w:szCs w:val="22"/>
        </w:rPr>
        <w:t>and increasing the REF readiness of UoA3, a large (&lt;</w:t>
      </w:r>
      <w:r w:rsidR="00BE2811">
        <w:rPr>
          <w:rFonts w:asciiTheme="minorHAnsi" w:hAnsiTheme="minorHAnsi" w:cstheme="minorHAnsi"/>
          <w:sz w:val="22"/>
          <w:szCs w:val="22"/>
        </w:rPr>
        <w:t>75</w:t>
      </w:r>
      <w:r w:rsidR="005708CA" w:rsidRPr="00D838B6">
        <w:rPr>
          <w:rFonts w:asciiTheme="minorHAnsi" w:hAnsiTheme="minorHAnsi" w:cstheme="minorHAnsi"/>
          <w:sz w:val="22"/>
          <w:szCs w:val="22"/>
        </w:rPr>
        <w:t xml:space="preserve"> FTE) cross-Faculty and cross-School unit of assessment. Outside of UoA3, the IHR also has </w:t>
      </w:r>
      <w:r w:rsidR="00582FD7">
        <w:rPr>
          <w:rFonts w:asciiTheme="minorHAnsi" w:hAnsiTheme="minorHAnsi" w:cstheme="minorHAnsi"/>
          <w:sz w:val="22"/>
          <w:szCs w:val="22"/>
        </w:rPr>
        <w:t xml:space="preserve">over 60 </w:t>
      </w:r>
      <w:r w:rsidR="00BE2811">
        <w:rPr>
          <w:rFonts w:asciiTheme="minorHAnsi" w:hAnsiTheme="minorHAnsi" w:cstheme="minorHAnsi"/>
          <w:sz w:val="22"/>
          <w:szCs w:val="22"/>
        </w:rPr>
        <w:t xml:space="preserve">members </w:t>
      </w:r>
      <w:r w:rsidR="005708CA" w:rsidRPr="00D838B6">
        <w:rPr>
          <w:rFonts w:asciiTheme="minorHAnsi" w:hAnsiTheme="minorHAnsi" w:cstheme="minorHAnsi"/>
          <w:sz w:val="22"/>
          <w:szCs w:val="22"/>
        </w:rPr>
        <w:t xml:space="preserve">who will </w:t>
      </w:r>
      <w:r w:rsidR="00582FD7">
        <w:rPr>
          <w:rFonts w:asciiTheme="minorHAnsi" w:hAnsiTheme="minorHAnsi" w:cstheme="minorHAnsi"/>
          <w:sz w:val="22"/>
          <w:szCs w:val="22"/>
        </w:rPr>
        <w:t xml:space="preserve">most </w:t>
      </w:r>
      <w:r w:rsidR="005708CA" w:rsidRPr="00D838B6">
        <w:rPr>
          <w:rFonts w:asciiTheme="minorHAnsi" w:hAnsiTheme="minorHAnsi" w:cstheme="minorHAnsi"/>
          <w:sz w:val="22"/>
          <w:szCs w:val="22"/>
        </w:rPr>
        <w:t>likely be submitted to other UoAs such as sports science, psychology,</w:t>
      </w:r>
      <w:r w:rsidR="00582FD7">
        <w:rPr>
          <w:rFonts w:asciiTheme="minorHAnsi" w:hAnsiTheme="minorHAnsi" w:cstheme="minorHAnsi"/>
          <w:sz w:val="22"/>
          <w:szCs w:val="22"/>
        </w:rPr>
        <w:t xml:space="preserve"> maths, art </w:t>
      </w:r>
      <w:r w:rsidR="005708CA" w:rsidRPr="00D838B6">
        <w:rPr>
          <w:rFonts w:asciiTheme="minorHAnsi" w:hAnsiTheme="minorHAnsi" w:cstheme="minorHAnsi"/>
          <w:sz w:val="22"/>
          <w:szCs w:val="22"/>
        </w:rPr>
        <w:t>and education</w:t>
      </w:r>
      <w:r w:rsidR="00582FD7">
        <w:rPr>
          <w:rFonts w:asciiTheme="minorHAnsi" w:hAnsiTheme="minorHAnsi" w:cstheme="minorHAnsi"/>
          <w:sz w:val="22"/>
          <w:szCs w:val="22"/>
        </w:rPr>
        <w:t xml:space="preserve"> </w:t>
      </w:r>
      <w:r w:rsidR="005708CA" w:rsidRPr="00D838B6">
        <w:rPr>
          <w:rFonts w:asciiTheme="minorHAnsi" w:hAnsiTheme="minorHAnsi" w:cstheme="minorHAnsi"/>
          <w:sz w:val="22"/>
          <w:szCs w:val="22"/>
        </w:rPr>
        <w:t xml:space="preserve"> but could also potentially be submitted to UoA3.</w:t>
      </w:r>
    </w:p>
    <w:p w14:paraId="2DB50283" w14:textId="4BAFB3D0" w:rsidR="00E70647" w:rsidRPr="002F40C3" w:rsidRDefault="00B100D1" w:rsidP="002F40C3">
      <w:pPr>
        <w:pStyle w:val="Header"/>
        <w:tabs>
          <w:tab w:val="clear" w:pos="4513"/>
          <w:tab w:val="clear" w:pos="9026"/>
          <w:tab w:val="num" w:pos="1134"/>
        </w:tabs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128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Research Environment</w:t>
      </w:r>
      <w:r w:rsidR="00385A57" w:rsidRPr="00385A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5A57">
        <w:rPr>
          <w:rFonts w:asciiTheme="minorHAnsi" w:hAnsiTheme="minorHAnsi" w:cstheme="minorHAnsi"/>
          <w:color w:val="000000"/>
          <w:sz w:val="22"/>
          <w:szCs w:val="22"/>
        </w:rPr>
        <w:t>The IHR aims to increase the ability and capacity for researchers to improve human health across the life course</w:t>
      </w:r>
      <w:r w:rsidR="00E47E19" w:rsidRPr="00EC12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385A57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680B44">
        <w:rPr>
          <w:rFonts w:asciiTheme="minorHAnsi" w:hAnsiTheme="minorHAnsi" w:cstheme="minorHAnsi"/>
          <w:color w:val="000000"/>
          <w:sz w:val="22"/>
          <w:szCs w:val="22"/>
        </w:rPr>
        <w:t xml:space="preserve">y </w:t>
      </w:r>
      <w:r w:rsidR="00680B44">
        <w:rPr>
          <w:rFonts w:ascii="Calibri" w:hAnsi="Calibri" w:cs="Arial"/>
          <w:sz w:val="22"/>
          <w:szCs w:val="22"/>
        </w:rPr>
        <w:t>p</w:t>
      </w:r>
      <w:r w:rsidR="00680B44" w:rsidRPr="000F6F25">
        <w:rPr>
          <w:rFonts w:ascii="Calibri" w:hAnsi="Calibri" w:cs="Arial"/>
          <w:sz w:val="22"/>
          <w:szCs w:val="22"/>
        </w:rPr>
        <w:t>rovid</w:t>
      </w:r>
      <w:r w:rsidR="00680B44">
        <w:rPr>
          <w:rFonts w:ascii="Calibri" w:hAnsi="Calibri" w:cs="Arial"/>
          <w:sz w:val="22"/>
          <w:szCs w:val="22"/>
        </w:rPr>
        <w:t>ing</w:t>
      </w:r>
      <w:r w:rsidR="00680B44" w:rsidRPr="000F6F25">
        <w:rPr>
          <w:rFonts w:ascii="Calibri" w:hAnsi="Calibri" w:cs="Arial"/>
          <w:sz w:val="22"/>
          <w:szCs w:val="22"/>
        </w:rPr>
        <w:t xml:space="preserve"> leadership, direction and unity for health-related research </w:t>
      </w:r>
      <w:r w:rsidR="00680B44">
        <w:rPr>
          <w:rFonts w:ascii="Calibri" w:hAnsi="Calibri" w:cs="Arial"/>
          <w:sz w:val="22"/>
          <w:szCs w:val="22"/>
        </w:rPr>
        <w:t xml:space="preserve">and scholarly </w:t>
      </w:r>
      <w:r w:rsidR="00680B44" w:rsidRPr="000F6F25">
        <w:rPr>
          <w:rFonts w:ascii="Calibri" w:hAnsi="Calibri" w:cs="Arial"/>
          <w:sz w:val="22"/>
          <w:szCs w:val="22"/>
        </w:rPr>
        <w:t xml:space="preserve">activities </w:t>
      </w:r>
      <w:r w:rsidR="00E06EE9">
        <w:rPr>
          <w:rFonts w:ascii="Calibri" w:hAnsi="Calibri" w:cs="Arial"/>
          <w:sz w:val="22"/>
          <w:szCs w:val="22"/>
        </w:rPr>
        <w:t>(Figure 4)</w:t>
      </w:r>
      <w:r w:rsidR="00C04E17">
        <w:rPr>
          <w:rFonts w:ascii="Calibri" w:hAnsi="Calibri" w:cs="Arial"/>
          <w:sz w:val="22"/>
          <w:szCs w:val="22"/>
        </w:rPr>
        <w:t xml:space="preserve">. </w:t>
      </w:r>
      <w:r w:rsidR="00E06EE9">
        <w:rPr>
          <w:rFonts w:ascii="Calibri" w:hAnsi="Calibri" w:cs="Arial"/>
          <w:sz w:val="22"/>
          <w:szCs w:val="22"/>
        </w:rPr>
        <w:t xml:space="preserve"> </w:t>
      </w:r>
      <w:r w:rsidR="00C04E17">
        <w:rPr>
          <w:rFonts w:ascii="Calibri" w:hAnsi="Calibri" w:cs="Arial"/>
          <w:sz w:val="22"/>
          <w:szCs w:val="22"/>
        </w:rPr>
        <w:t>Also by</w:t>
      </w:r>
      <w:r w:rsidR="00680B44">
        <w:rPr>
          <w:rFonts w:ascii="Calibri" w:hAnsi="Calibri" w:cs="Arial"/>
          <w:sz w:val="22"/>
          <w:szCs w:val="22"/>
        </w:rPr>
        <w:t xml:space="preserve"> e</w:t>
      </w:r>
      <w:r w:rsidR="00680B44" w:rsidRPr="000F6F25">
        <w:rPr>
          <w:rFonts w:ascii="Calibri" w:hAnsi="Calibri" w:cs="Arial"/>
          <w:sz w:val="22"/>
          <w:szCs w:val="22"/>
        </w:rPr>
        <w:t>nhanc</w:t>
      </w:r>
      <w:r w:rsidR="00680B44">
        <w:rPr>
          <w:rFonts w:ascii="Calibri" w:hAnsi="Calibri" w:cs="Arial"/>
          <w:sz w:val="22"/>
          <w:szCs w:val="22"/>
        </w:rPr>
        <w:t>ing</w:t>
      </w:r>
      <w:r w:rsidR="00680B44" w:rsidRPr="000F6F25">
        <w:rPr>
          <w:rFonts w:ascii="Calibri" w:hAnsi="Calibri" w:cs="Arial"/>
          <w:sz w:val="22"/>
          <w:szCs w:val="22"/>
        </w:rPr>
        <w:t xml:space="preserve"> individual researcher capability </w:t>
      </w:r>
      <w:r w:rsidR="00680B44">
        <w:rPr>
          <w:rFonts w:ascii="Calibri" w:hAnsi="Calibri" w:cs="Arial"/>
          <w:sz w:val="22"/>
          <w:szCs w:val="22"/>
        </w:rPr>
        <w:t>via</w:t>
      </w:r>
      <w:r w:rsidR="00680B44" w:rsidRPr="000F6F25">
        <w:rPr>
          <w:rFonts w:ascii="Calibri" w:hAnsi="Calibri" w:cs="Arial"/>
          <w:sz w:val="22"/>
          <w:szCs w:val="22"/>
        </w:rPr>
        <w:t xml:space="preserve"> promoting researcher development, the sharing of ideas and increasing cross-discipline collaborations through participation in shared projects, PhD supervisions, discussions, workshops and seminars</w:t>
      </w:r>
      <w:r w:rsidR="00680B44">
        <w:rPr>
          <w:rFonts w:ascii="Calibri" w:hAnsi="Calibri" w:cs="Arial"/>
          <w:sz w:val="22"/>
          <w:szCs w:val="22"/>
        </w:rPr>
        <w:t xml:space="preserve">, </w:t>
      </w:r>
      <w:r w:rsidR="00C87CF6">
        <w:rPr>
          <w:rFonts w:ascii="Calibri" w:hAnsi="Calibri" w:cs="Arial"/>
          <w:sz w:val="22"/>
          <w:szCs w:val="22"/>
        </w:rPr>
        <w:t>(</w:t>
      </w:r>
      <w:r w:rsidR="005818AF">
        <w:rPr>
          <w:rFonts w:ascii="Calibri" w:hAnsi="Calibri" w:cs="Arial"/>
          <w:sz w:val="22"/>
          <w:szCs w:val="22"/>
        </w:rPr>
        <w:t>objective 1)</w:t>
      </w:r>
      <w:r w:rsidR="00F1498B" w:rsidRPr="000F6F25">
        <w:rPr>
          <w:rFonts w:ascii="Calibri" w:hAnsi="Calibri" w:cs="Arial"/>
          <w:sz w:val="22"/>
          <w:szCs w:val="22"/>
        </w:rPr>
        <w:t>.</w:t>
      </w:r>
      <w:r w:rsidR="00C87CF6" w:rsidRPr="00C87C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87CF6">
        <w:rPr>
          <w:rFonts w:asciiTheme="minorHAnsi" w:hAnsiTheme="minorHAnsi" w:cstheme="minorHAnsi"/>
          <w:color w:val="000000"/>
          <w:sz w:val="22"/>
          <w:szCs w:val="22"/>
        </w:rPr>
        <w:t>One of the IHR</w:t>
      </w:r>
      <w:r w:rsidR="00E06EE9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="00C87CF6">
        <w:rPr>
          <w:rFonts w:asciiTheme="minorHAnsi" w:hAnsiTheme="minorHAnsi" w:cstheme="minorHAnsi"/>
          <w:color w:val="000000"/>
          <w:sz w:val="22"/>
          <w:szCs w:val="22"/>
        </w:rPr>
        <w:t xml:space="preserve">s major strengths is in generating a diverse and inclusive environment for researchers, </w:t>
      </w:r>
      <w:r w:rsidR="00C87CF6" w:rsidRPr="001B69D9">
        <w:rPr>
          <w:rFonts w:asciiTheme="minorHAnsi" w:hAnsiTheme="minorHAnsi" w:cstheme="minorHAnsi"/>
          <w:color w:val="000000"/>
          <w:sz w:val="22"/>
          <w:szCs w:val="22"/>
        </w:rPr>
        <w:t>with different levels of experience and</w:t>
      </w:r>
      <w:r w:rsidR="00C87CF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87CF6" w:rsidRPr="001B69D9">
        <w:rPr>
          <w:rFonts w:asciiTheme="minorHAnsi" w:hAnsiTheme="minorHAnsi" w:cstheme="minorHAnsi"/>
          <w:color w:val="000000"/>
          <w:sz w:val="22"/>
          <w:szCs w:val="22"/>
        </w:rPr>
        <w:t xml:space="preserve"> who bring expertise in different subject areas and methodologies to the table</w:t>
      </w:r>
      <w:r w:rsidR="00C87C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87CF6">
        <w:rPr>
          <w:rFonts w:ascii="Calibri" w:hAnsi="Calibri" w:cs="Calibri"/>
          <w:sz w:val="22"/>
          <w:szCs w:val="22"/>
        </w:rPr>
        <w:t>(objective 2).</w:t>
      </w:r>
      <w:r w:rsidR="002F40C3" w:rsidRPr="002F40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F40C3">
        <w:rPr>
          <w:rFonts w:asciiTheme="minorHAnsi" w:hAnsiTheme="minorHAnsi" w:cstheme="minorHAnsi"/>
          <w:color w:val="000000"/>
          <w:sz w:val="22"/>
          <w:szCs w:val="22"/>
        </w:rPr>
        <w:t>The IHR</w:t>
      </w:r>
      <w:r w:rsidR="002F40C3" w:rsidRPr="00F727D8">
        <w:rPr>
          <w:rFonts w:asciiTheme="minorHAnsi" w:hAnsiTheme="minorHAnsi" w:cstheme="minorHAnsi"/>
          <w:color w:val="000000"/>
          <w:sz w:val="22"/>
          <w:szCs w:val="22"/>
        </w:rPr>
        <w:t xml:space="preserve"> work</w:t>
      </w:r>
      <w:r w:rsidR="002F40C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2F40C3" w:rsidRPr="00F727D8">
        <w:rPr>
          <w:rFonts w:asciiTheme="minorHAnsi" w:hAnsiTheme="minorHAnsi" w:cstheme="minorHAnsi"/>
          <w:color w:val="000000"/>
          <w:sz w:val="22"/>
          <w:szCs w:val="22"/>
        </w:rPr>
        <w:t xml:space="preserve"> with</w:t>
      </w:r>
      <w:r w:rsidR="002F40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F40C3" w:rsidRPr="00F727D8">
        <w:rPr>
          <w:rFonts w:asciiTheme="minorHAnsi" w:hAnsiTheme="minorHAnsi" w:cstheme="minorHAnsi"/>
          <w:color w:val="000000"/>
          <w:sz w:val="22"/>
          <w:szCs w:val="22"/>
        </w:rPr>
        <w:t xml:space="preserve">the LJMU Researcher Development team </w:t>
      </w:r>
      <w:r w:rsidR="002F40C3">
        <w:rPr>
          <w:rFonts w:asciiTheme="minorHAnsi" w:hAnsiTheme="minorHAnsi" w:cstheme="minorHAnsi"/>
          <w:color w:val="000000"/>
          <w:sz w:val="22"/>
          <w:szCs w:val="22"/>
        </w:rPr>
        <w:t xml:space="preserve">to support IHR members at different career stages. For </w:t>
      </w:r>
      <w:r w:rsidR="002F40C3" w:rsidRPr="00F727D8">
        <w:rPr>
          <w:rFonts w:asciiTheme="minorHAnsi" w:hAnsiTheme="minorHAnsi" w:cstheme="minorHAnsi"/>
          <w:color w:val="000000"/>
          <w:sz w:val="22"/>
          <w:szCs w:val="22"/>
        </w:rPr>
        <w:t>example</w:t>
      </w:r>
      <w:r w:rsidR="002F40C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F40C3" w:rsidRPr="00F727D8">
        <w:rPr>
          <w:rFonts w:asciiTheme="minorHAnsi" w:hAnsiTheme="minorHAnsi" w:cstheme="minorHAnsi"/>
          <w:color w:val="000000"/>
          <w:sz w:val="22"/>
          <w:szCs w:val="22"/>
        </w:rPr>
        <w:t xml:space="preserve"> a systematic reviews workshop</w:t>
      </w:r>
      <w:r w:rsidR="002F40C3">
        <w:rPr>
          <w:rFonts w:asciiTheme="minorHAnsi" w:hAnsiTheme="minorHAnsi" w:cstheme="minorHAnsi"/>
          <w:color w:val="000000"/>
          <w:sz w:val="22"/>
          <w:szCs w:val="22"/>
        </w:rPr>
        <w:t xml:space="preserve"> was incorporated into the </w:t>
      </w:r>
      <w:r w:rsidR="002F40C3" w:rsidRPr="00F727D8">
        <w:rPr>
          <w:rFonts w:asciiTheme="minorHAnsi" w:hAnsiTheme="minorHAnsi" w:cstheme="minorHAnsi"/>
          <w:color w:val="000000"/>
          <w:sz w:val="22"/>
          <w:szCs w:val="22"/>
        </w:rPr>
        <w:t xml:space="preserve">Activator </w:t>
      </w:r>
      <w:r w:rsidR="00E06EE9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2F40C3" w:rsidRPr="00F727D8">
        <w:rPr>
          <w:rFonts w:asciiTheme="minorHAnsi" w:hAnsiTheme="minorHAnsi" w:cstheme="minorHAnsi"/>
          <w:color w:val="000000"/>
          <w:sz w:val="22"/>
          <w:szCs w:val="22"/>
        </w:rPr>
        <w:t>eries</w:t>
      </w:r>
      <w:r w:rsidR="002F40C3">
        <w:rPr>
          <w:rFonts w:asciiTheme="minorHAnsi" w:hAnsiTheme="minorHAnsi" w:cstheme="minorHAnsi"/>
          <w:color w:val="000000"/>
          <w:sz w:val="22"/>
          <w:szCs w:val="22"/>
        </w:rPr>
        <w:t xml:space="preserve"> to encourage those new to health research to consider systematic reviews as a mechanism to define research projects and start publishing in peer reviewed journals.</w:t>
      </w:r>
    </w:p>
    <w:p w14:paraId="1ECAC79E" w14:textId="7D6B1898" w:rsidR="00B8055B" w:rsidRDefault="00B8055B" w:rsidP="00B8055B">
      <w:pPr>
        <w:pStyle w:val="Header"/>
        <w:tabs>
          <w:tab w:val="clear" w:pos="4513"/>
          <w:tab w:val="clear" w:pos="9026"/>
        </w:tabs>
        <w:spacing w:after="60"/>
        <w:ind w:left="4678" w:hanging="3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D1A63">
        <w:rPr>
          <w:rFonts w:asciiTheme="minorHAnsi" w:hAnsiTheme="minorHAnsi" w:cstheme="minorHAnsi"/>
          <w:i/>
          <w:noProof/>
          <w:color w:val="000000"/>
          <w:sz w:val="22"/>
          <w:szCs w:val="22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57DB50" wp14:editId="07787E52">
                <wp:simplePos x="0" y="0"/>
                <wp:positionH relativeFrom="column">
                  <wp:posOffset>276225</wp:posOffset>
                </wp:positionH>
                <wp:positionV relativeFrom="paragraph">
                  <wp:posOffset>2659457</wp:posOffset>
                </wp:positionV>
                <wp:extent cx="2326005" cy="266065"/>
                <wp:effectExtent l="0" t="0" r="0" b="6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511E5" w14:textId="77777777" w:rsidR="00016408" w:rsidRPr="00B8055B" w:rsidRDefault="00016408" w:rsidP="00016408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055B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Figure 4: IHR Strategic Approach</w:t>
                            </w:r>
                          </w:p>
                          <w:p w14:paraId="1ADC5530" w14:textId="77777777" w:rsidR="00016408" w:rsidRDefault="00016408" w:rsidP="000164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7DB50" id="_x0000_s1029" type="#_x0000_t202" style="position:absolute;left:0;text-align:left;margin-left:21.75pt;margin-top:209.4pt;width:183.15pt;height:20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" stroked="f">
                <v:textbox>
                  <w:txbxContent>
                    <w:p w14:paraId="3D9511E5" w14:textId="77777777" w:rsidR="00016408" w:rsidRPr="00B8055B" w:rsidRDefault="00016408" w:rsidP="00016408">
                      <w:pPr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B8055B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  <w:t>Figure 4: IHR Strategic Approach</w:t>
                      </w:r>
                    </w:p>
                    <w:p w14:paraId="1ADC5530" w14:textId="77777777" w:rsidR="00016408" w:rsidRDefault="00016408" w:rsidP="00016408"/>
                  </w:txbxContent>
                </v:textbox>
                <w10:wrap type="square"/>
              </v:shape>
            </w:pict>
          </mc:Fallback>
        </mc:AlternateContent>
      </w:r>
      <w:r w:rsidR="00016408">
        <w:rPr>
          <w:rFonts w:asciiTheme="minorHAnsi" w:hAnsiTheme="minorHAnsi" w:cstheme="minorHAnsi"/>
          <w:noProof/>
          <w:color w:val="000000"/>
          <w:sz w:val="22"/>
          <w:szCs w:val="22"/>
          <w:lang w:eastAsia="en-GB"/>
        </w:rPr>
        <w:drawing>
          <wp:anchor distT="0" distB="0" distL="114300" distR="114300" simplePos="0" relativeHeight="251666432" behindDoc="0" locked="0" layoutInCell="1" allowOverlap="1" wp14:anchorId="5E7FF396" wp14:editId="660A197F">
            <wp:simplePos x="0" y="0"/>
            <wp:positionH relativeFrom="column">
              <wp:posOffset>110490</wp:posOffset>
            </wp:positionH>
            <wp:positionV relativeFrom="paragraph">
              <wp:posOffset>82550</wp:posOffset>
            </wp:positionV>
            <wp:extent cx="2658110" cy="2426335"/>
            <wp:effectExtent l="133350" t="114300" r="142240" b="16446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HR wheel.png"/>
                    <pic:cNvPicPr/>
                  </pic:nvPicPr>
                  <pic:blipFill rotWithShape="1"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39" t="10278" r="24179" b="9721"/>
                    <a:stretch/>
                  </pic:blipFill>
                  <pic:spPr bwMode="auto">
                    <a:xfrm>
                      <a:off x="0" y="0"/>
                      <a:ext cx="2658110" cy="24263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A63" w:rsidRPr="00DD1A63">
        <w:rPr>
          <w:rFonts w:asciiTheme="minorHAnsi" w:hAnsiTheme="minorHAnsi" w:cstheme="minorHAnsi"/>
          <w:i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AF14C3E" wp14:editId="3581301A">
                <wp:simplePos x="0" y="0"/>
                <wp:positionH relativeFrom="column">
                  <wp:posOffset>114935</wp:posOffset>
                </wp:positionH>
                <wp:positionV relativeFrom="paragraph">
                  <wp:posOffset>1234440</wp:posOffset>
                </wp:positionV>
                <wp:extent cx="2326005" cy="266065"/>
                <wp:effectExtent l="0" t="0" r="1714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C56F" w14:textId="596C7035" w:rsidR="00DD1A63" w:rsidRPr="00455EAF" w:rsidRDefault="00DD1A63" w:rsidP="00DD1A63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55EAF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Figure 4: IHR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Pr="00455EAF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trategic Approach</w:t>
                            </w:r>
                          </w:p>
                          <w:p w14:paraId="73B2B666" w14:textId="7EC7FE1C" w:rsidR="00DD1A63" w:rsidRDefault="00DD1A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14C3E" id="_x0000_s1029" type="#_x0000_t202" style="position:absolute;left:0;text-align:left;margin-left:9.05pt;margin-top:97.2pt;width:183.15pt;height:20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">
                <v:textbox>
                  <w:txbxContent>
                    <w:p w14:paraId="75E1C56F" w14:textId="596C7035" w:rsidR="00DD1A63" w:rsidRPr="00455EAF" w:rsidRDefault="00DD1A63" w:rsidP="00DD1A63">
                      <w:pP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455EAF"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Figure 4: IHR </w:t>
                      </w:r>
                      <w: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Pr="00455EAF"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>trategic Approach</w:t>
                      </w:r>
                    </w:p>
                    <w:p w14:paraId="73B2B666" w14:textId="7EC7FE1C" w:rsidR="00DD1A63" w:rsidRDefault="00DD1A63"/>
                  </w:txbxContent>
                </v:textbox>
                <w10:wrap type="square"/>
              </v:shape>
            </w:pict>
          </mc:Fallback>
        </mc:AlternateContent>
      </w:r>
      <w:r w:rsidR="00334345" w:rsidRPr="001B69D9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000000"/>
          <w:sz w:val="22"/>
          <w:szCs w:val="22"/>
        </w:rPr>
        <w:t>IHR</w:t>
      </w:r>
      <w:r w:rsidR="00680B44">
        <w:rPr>
          <w:rFonts w:asciiTheme="minorHAnsi" w:hAnsiTheme="minorHAnsi" w:cstheme="minorHAnsi"/>
          <w:color w:val="000000"/>
          <w:sz w:val="22"/>
          <w:szCs w:val="22"/>
        </w:rPr>
        <w:t xml:space="preserve"> i</w:t>
      </w:r>
      <w:r w:rsidR="00334345" w:rsidRPr="001B69D9">
        <w:rPr>
          <w:rFonts w:asciiTheme="minorHAnsi" w:hAnsiTheme="minorHAnsi" w:cstheme="minorHAnsi"/>
          <w:color w:val="000000"/>
          <w:sz w:val="22"/>
          <w:szCs w:val="22"/>
        </w:rPr>
        <w:t>nterest group</w:t>
      </w:r>
      <w:r w:rsidR="00680B44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385A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0647">
        <w:rPr>
          <w:rFonts w:asciiTheme="minorHAnsi" w:hAnsiTheme="minorHAnsi" w:cstheme="minorHAnsi"/>
          <w:color w:val="000000"/>
          <w:sz w:val="22"/>
          <w:szCs w:val="22"/>
        </w:rPr>
        <w:t>(Figure 3)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were</w:t>
      </w:r>
      <w:r w:rsidR="00334345" w:rsidRPr="001B69D9">
        <w:rPr>
          <w:rFonts w:asciiTheme="minorHAnsi" w:hAnsiTheme="minorHAnsi" w:cstheme="minorHAnsi"/>
          <w:color w:val="000000"/>
          <w:sz w:val="22"/>
          <w:szCs w:val="22"/>
        </w:rPr>
        <w:t xml:space="preserve"> designed to be flexible</w:t>
      </w:r>
      <w:r w:rsidR="00385A5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80B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34345" w:rsidRPr="001B69D9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680B44">
        <w:rPr>
          <w:rFonts w:asciiTheme="minorHAnsi" w:hAnsiTheme="minorHAnsi" w:cstheme="minorHAnsi"/>
          <w:color w:val="000000"/>
          <w:sz w:val="22"/>
          <w:szCs w:val="22"/>
        </w:rPr>
        <w:t>grow and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</w:t>
      </w:r>
      <w:r w:rsidR="00680B44">
        <w:rPr>
          <w:rFonts w:asciiTheme="minorHAnsi" w:hAnsiTheme="minorHAnsi" w:cstheme="minorHAnsi"/>
          <w:color w:val="000000"/>
          <w:sz w:val="22"/>
          <w:szCs w:val="22"/>
        </w:rPr>
        <w:t xml:space="preserve"> develop with</w:t>
      </w:r>
      <w:r w:rsidR="00334345" w:rsidRPr="001B69D9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r w:rsidR="00680B44">
        <w:rPr>
          <w:rFonts w:asciiTheme="minorHAnsi" w:hAnsiTheme="minorHAnsi" w:cstheme="minorHAnsi"/>
          <w:color w:val="000000"/>
          <w:sz w:val="22"/>
          <w:szCs w:val="22"/>
        </w:rPr>
        <w:t xml:space="preserve">changing </w:t>
      </w:r>
      <w:r w:rsidR="00334345" w:rsidRPr="001B69D9">
        <w:rPr>
          <w:rFonts w:asciiTheme="minorHAnsi" w:hAnsiTheme="minorHAnsi" w:cstheme="minorHAnsi"/>
          <w:color w:val="000000"/>
          <w:sz w:val="22"/>
          <w:szCs w:val="22"/>
        </w:rPr>
        <w:t xml:space="preserve">needs of the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group </w:t>
      </w:r>
      <w:r w:rsidR="000D3A18">
        <w:rPr>
          <w:rFonts w:asciiTheme="minorHAnsi" w:hAnsiTheme="minorHAnsi" w:cstheme="minorHAnsi"/>
          <w:color w:val="000000"/>
          <w:sz w:val="22"/>
          <w:szCs w:val="22"/>
        </w:rPr>
        <w:t xml:space="preserve">members and </w:t>
      </w:r>
      <w:r w:rsidR="00C04E17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334345" w:rsidRPr="001B69D9">
        <w:rPr>
          <w:rFonts w:asciiTheme="minorHAnsi" w:hAnsiTheme="minorHAnsi" w:cstheme="minorHAnsi"/>
          <w:color w:val="000000"/>
          <w:sz w:val="22"/>
          <w:szCs w:val="22"/>
        </w:rPr>
        <w:t>address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new</w:t>
      </w:r>
      <w:r w:rsidR="00334345" w:rsidRPr="001B69D9">
        <w:rPr>
          <w:rFonts w:asciiTheme="minorHAnsi" w:hAnsiTheme="minorHAnsi" w:cstheme="minorHAnsi"/>
          <w:color w:val="000000"/>
          <w:sz w:val="22"/>
          <w:szCs w:val="22"/>
        </w:rPr>
        <w:t xml:space="preserve"> health </w:t>
      </w:r>
      <w:r w:rsidR="00680B44">
        <w:rPr>
          <w:rFonts w:asciiTheme="minorHAnsi" w:hAnsiTheme="minorHAnsi" w:cstheme="minorHAnsi"/>
          <w:color w:val="000000"/>
          <w:sz w:val="22"/>
          <w:szCs w:val="22"/>
        </w:rPr>
        <w:t>priorities</w:t>
      </w:r>
      <w:r w:rsidR="00334345" w:rsidRPr="001B69D9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r w:rsidR="00680B44">
        <w:rPr>
          <w:rFonts w:asciiTheme="minorHAnsi" w:hAnsiTheme="minorHAnsi" w:cstheme="minorHAnsi"/>
          <w:color w:val="000000"/>
          <w:sz w:val="22"/>
          <w:szCs w:val="22"/>
        </w:rPr>
        <w:t xml:space="preserve">different </w:t>
      </w:r>
      <w:r w:rsidR="00334345" w:rsidRPr="001B69D9">
        <w:rPr>
          <w:rFonts w:asciiTheme="minorHAnsi" w:hAnsiTheme="minorHAnsi" w:cstheme="minorHAnsi"/>
          <w:color w:val="000000"/>
          <w:sz w:val="22"/>
          <w:szCs w:val="22"/>
        </w:rPr>
        <w:t>communities.</w:t>
      </w:r>
      <w:r w:rsidR="00680B44">
        <w:rPr>
          <w:rFonts w:asciiTheme="minorHAnsi" w:hAnsiTheme="minorHAnsi" w:cstheme="minorHAnsi"/>
          <w:color w:val="000000"/>
          <w:sz w:val="22"/>
          <w:szCs w:val="22"/>
        </w:rPr>
        <w:t xml:space="preserve"> Recently, certain interest groups have been re-assigned as cross-cutting themes; Data Science &amp; Technology,  International Health Research, Systematic Reviews and Workforce Development, with the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realisation that this expertise </w:t>
      </w:r>
      <w:r w:rsidR="00680B44">
        <w:rPr>
          <w:rFonts w:asciiTheme="minorHAnsi" w:hAnsiTheme="minorHAnsi" w:cstheme="minorHAnsi"/>
          <w:color w:val="000000"/>
          <w:sz w:val="22"/>
          <w:szCs w:val="22"/>
        </w:rPr>
        <w:t>feed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680B44">
        <w:rPr>
          <w:rFonts w:asciiTheme="minorHAnsi" w:hAnsiTheme="minorHAnsi" w:cstheme="minorHAnsi"/>
          <w:color w:val="000000"/>
          <w:sz w:val="22"/>
          <w:szCs w:val="22"/>
        </w:rPr>
        <w:t xml:space="preserve"> into several different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80B44">
        <w:rPr>
          <w:rFonts w:asciiTheme="minorHAnsi" w:hAnsiTheme="minorHAnsi" w:cstheme="minorHAnsi"/>
          <w:color w:val="000000"/>
          <w:sz w:val="22"/>
          <w:szCs w:val="22"/>
        </w:rPr>
        <w:t xml:space="preserve">groups. </w:t>
      </w:r>
      <w:r w:rsidR="000D3A18">
        <w:rPr>
          <w:rFonts w:asciiTheme="minorHAnsi" w:hAnsiTheme="minorHAnsi" w:cstheme="minorHAnsi"/>
          <w:color w:val="000000"/>
          <w:sz w:val="22"/>
          <w:szCs w:val="22"/>
        </w:rPr>
        <w:t xml:space="preserve">A new interest group, </w:t>
      </w:r>
      <w:r w:rsidR="005746B0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0D3A18">
        <w:rPr>
          <w:rFonts w:asciiTheme="minorHAnsi" w:hAnsiTheme="minorHAnsi" w:cstheme="minorHAnsi"/>
          <w:color w:val="000000"/>
          <w:sz w:val="22"/>
          <w:szCs w:val="22"/>
        </w:rPr>
        <w:t>Living with Cancer</w:t>
      </w:r>
      <w:r w:rsidR="005746B0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0D3A18">
        <w:rPr>
          <w:rFonts w:asciiTheme="minorHAnsi" w:hAnsiTheme="minorHAnsi" w:cstheme="minorHAnsi"/>
          <w:color w:val="000000"/>
          <w:sz w:val="22"/>
          <w:szCs w:val="22"/>
        </w:rPr>
        <w:t>, has recently been established through the recognition of a critical mass in this area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a critical mass is evolving around social prescribing</w:t>
      </w:r>
      <w:r w:rsidR="000D3A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B06E8B">
        <w:rPr>
          <w:rFonts w:asciiTheme="minorHAnsi" w:hAnsiTheme="minorHAnsi" w:cstheme="minorHAnsi"/>
          <w:color w:val="000000"/>
          <w:sz w:val="22"/>
          <w:szCs w:val="22"/>
        </w:rPr>
        <w:t xml:space="preserve">Although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EC1288">
        <w:rPr>
          <w:rFonts w:asciiTheme="minorHAnsi" w:hAnsiTheme="minorHAnsi" w:cstheme="minorHAnsi"/>
          <w:color w:val="000000"/>
          <w:sz w:val="22"/>
          <w:szCs w:val="22"/>
        </w:rPr>
        <w:t xml:space="preserve">strong </w:t>
      </w:r>
      <w:r w:rsidR="00715C69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EC1288">
        <w:rPr>
          <w:rFonts w:asciiTheme="minorHAnsi" w:hAnsiTheme="minorHAnsi" w:cstheme="minorHAnsi"/>
          <w:color w:val="000000"/>
          <w:sz w:val="22"/>
          <w:szCs w:val="22"/>
        </w:rPr>
        <w:t xml:space="preserve">nterest </w:t>
      </w:r>
      <w:r w:rsidR="00715C69">
        <w:rPr>
          <w:rFonts w:asciiTheme="minorHAnsi" w:hAnsiTheme="minorHAnsi" w:cstheme="minorHAnsi"/>
          <w:color w:val="000000"/>
          <w:sz w:val="22"/>
          <w:szCs w:val="22"/>
        </w:rPr>
        <w:t>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roups </w:t>
      </w:r>
      <w:r w:rsidR="00EC1288">
        <w:rPr>
          <w:rFonts w:asciiTheme="minorHAnsi" w:hAnsiTheme="minorHAnsi" w:cstheme="minorHAnsi"/>
          <w:color w:val="000000"/>
          <w:sz w:val="22"/>
          <w:szCs w:val="22"/>
        </w:rPr>
        <w:t xml:space="preserve">are meeting their targets, </w:t>
      </w:r>
      <w:r w:rsidR="00385A57">
        <w:rPr>
          <w:rFonts w:asciiTheme="minorHAnsi" w:hAnsiTheme="minorHAnsi" w:cstheme="minorHAnsi"/>
          <w:color w:val="000000"/>
          <w:sz w:val="22"/>
          <w:szCs w:val="22"/>
        </w:rPr>
        <w:t xml:space="preserve">others </w:t>
      </w:r>
      <w:r w:rsidR="00B8610F" w:rsidRPr="001B69D9">
        <w:rPr>
          <w:rFonts w:asciiTheme="minorHAnsi" w:hAnsiTheme="minorHAnsi" w:cstheme="minorHAnsi"/>
          <w:color w:val="000000"/>
          <w:sz w:val="22"/>
          <w:szCs w:val="22"/>
        </w:rPr>
        <w:t>still require support to</w:t>
      </w:r>
      <w:r w:rsidR="00680B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1288">
        <w:rPr>
          <w:rFonts w:asciiTheme="minorHAnsi" w:hAnsiTheme="minorHAnsi" w:cstheme="minorHAnsi"/>
          <w:color w:val="000000"/>
          <w:sz w:val="22"/>
          <w:szCs w:val="22"/>
        </w:rPr>
        <w:t xml:space="preserve">develop a </w:t>
      </w:r>
      <w:r w:rsidR="00EC1288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focused approach </w:t>
      </w:r>
      <w:r w:rsidR="00680B44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="00EC1288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increase </w:t>
      </w:r>
      <w:r w:rsidR="00B8610F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>activity</w:t>
      </w:r>
      <w:r w:rsidR="001B69D9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334345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success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an interest group is </w:t>
      </w:r>
      <w:r w:rsidR="00334345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>related to the motivation and dedication of the group co-ordinators so</w:t>
      </w:r>
      <w:r w:rsidR="00385A5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34345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moving forward</w:t>
      </w:r>
      <w:r w:rsidR="00385A5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34345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intention is to secure </w:t>
      </w:r>
      <w:r w:rsidR="00915315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>coordinators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</w:t>
      </w:r>
      <w:r w:rsidR="0001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time </w:t>
      </w:r>
      <w:r w:rsidR="00334345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ambition to lead </w:t>
      </w:r>
      <w:r w:rsidR="00385A57">
        <w:rPr>
          <w:rFonts w:asciiTheme="minorHAnsi" w:hAnsiTheme="minorHAnsi" w:cstheme="minorHAnsi"/>
          <w:color w:val="000000" w:themeColor="text1"/>
          <w:sz w:val="22"/>
          <w:szCs w:val="22"/>
        </w:rPr>
        <w:t>these</w:t>
      </w:r>
      <w:r w:rsidR="00334345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group</w:t>
      </w:r>
      <w:r w:rsidR="00385A57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334345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A5B8D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FB95E56" w14:textId="77777777" w:rsidR="00B8055B" w:rsidRPr="00B8055B" w:rsidRDefault="00B8055B" w:rsidP="00B8055B">
      <w:pPr>
        <w:pStyle w:val="Header"/>
        <w:tabs>
          <w:tab w:val="clear" w:pos="4513"/>
          <w:tab w:val="clear" w:pos="9026"/>
        </w:tabs>
        <w:spacing w:after="60"/>
        <w:ind w:left="4678" w:hanging="3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07460F" w14:textId="2289E2B4" w:rsidR="00EC1288" w:rsidRDefault="00715C69" w:rsidP="00715C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>In 2017, the</w:t>
      </w:r>
      <w:r w:rsidR="00385A57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 xml:space="preserve"> IHR Cardiovascular H</w:t>
      </w:r>
      <w:r w:rsidR="0090022F" w:rsidRPr="0090022F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 xml:space="preserve">ealth and </w:t>
      </w:r>
      <w:r w:rsidR="00385A57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>C</w:t>
      </w:r>
      <w:r w:rsidR="0090022F" w:rsidRPr="0090022F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 xml:space="preserve">are </w:t>
      </w:r>
      <w:r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>G</w:t>
      </w:r>
      <w:r w:rsidR="0090022F" w:rsidRPr="0090022F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>roup organised a workshop between cardiovascular research</w:t>
      </w:r>
      <w:r w:rsidR="00173F32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 xml:space="preserve">ers here at LJMU with clinical </w:t>
      </w:r>
      <w:r w:rsidR="0090022F" w:rsidRPr="0090022F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>cardiovascular researcher</w:t>
      </w:r>
      <w:r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>s</w:t>
      </w:r>
      <w:r w:rsidR="0090022F" w:rsidRPr="0090022F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 xml:space="preserve"> from local NHS trusts</w:t>
      </w:r>
      <w:r w:rsidR="00173F32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>, in particular Alder H</w:t>
      </w:r>
      <w:r w:rsidR="00385A57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 xml:space="preserve">ey </w:t>
      </w:r>
      <w:r w:rsidR="00173F32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>Children’s</w:t>
      </w:r>
      <w:r w:rsidR="00385A57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 xml:space="preserve"> Hospital and Liverpool </w:t>
      </w:r>
      <w:r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>H</w:t>
      </w:r>
      <w:r w:rsidR="00385A57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 xml:space="preserve">eart and Chest </w:t>
      </w:r>
      <w:r w:rsidR="00173F32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 xml:space="preserve">Hospital </w:t>
      </w:r>
      <w:r w:rsidR="00385A57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>(LHCH)</w:t>
      </w:r>
      <w:r w:rsidR="0090022F" w:rsidRPr="0090022F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>. Since then</w:t>
      </w:r>
      <w:r w:rsidR="00385A57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>, they</w:t>
      </w:r>
      <w:r w:rsidR="0090022F" w:rsidRPr="0090022F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 xml:space="preserve"> have been working with colleagues at </w:t>
      </w:r>
      <w:r w:rsidR="00173F32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 xml:space="preserve">LHCH </w:t>
      </w:r>
      <w:r w:rsidR="0090022F" w:rsidRPr="0090022F">
        <w:rPr>
          <w:rFonts w:ascii="Calibri" w:eastAsia="Times New Roman" w:hAnsi="Calibri"/>
          <w:color w:val="000000" w:themeColor="text1"/>
          <w:sz w:val="22"/>
          <w:szCs w:val="22"/>
          <w:lang w:eastAsia="en-US"/>
        </w:rPr>
        <w:t xml:space="preserve">and the </w:t>
      </w:r>
      <w:r w:rsidR="0090022F" w:rsidRPr="00BA59E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US"/>
        </w:rPr>
        <w:t>University of Liverpool to establish a Liverpool City region</w:t>
      </w:r>
      <w:r w:rsidR="00385A5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US"/>
        </w:rPr>
        <w:t>al</w:t>
      </w:r>
      <w:r w:rsidR="0090022F" w:rsidRPr="00BA59E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US"/>
        </w:rPr>
        <w:t xml:space="preserve"> focus on cardiovascular research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US"/>
        </w:rPr>
        <w:t>,</w:t>
      </w:r>
      <w:r w:rsidR="0090022F" w:rsidRPr="00BA59E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US"/>
        </w:rPr>
        <w:t xml:space="preserve"> culminating in the launch of the Liverpool Centre for Cardiovascular Science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US"/>
        </w:rPr>
        <w:t>in</w:t>
      </w:r>
      <w:r w:rsidR="0090022F" w:rsidRPr="00BA59E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US"/>
        </w:rPr>
        <w:t> September 2018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US"/>
        </w:rPr>
        <w:t xml:space="preserve"> that will enhance</w:t>
      </w:r>
      <w:r w:rsidR="0090022F" w:rsidRPr="00BA59E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US"/>
        </w:rPr>
        <w:t xml:space="preserve">collaborative research in this area. </w:t>
      </w:r>
      <w:r w:rsidR="0090022F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of the </w:t>
      </w:r>
      <w:r w:rsidR="00EC1288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>Green Spaces</w:t>
      </w:r>
      <w:r w:rsidR="0090022F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90022F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nterest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90022F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>roup have been w</w:t>
      </w:r>
      <w:r w:rsidR="0080620D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orking closely with Merseyforest on </w:t>
      </w:r>
      <w:r w:rsidR="00C04E17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orest </w:t>
      </w:r>
      <w:r w:rsidR="00C04E17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chools and </w:t>
      </w:r>
      <w:r w:rsidR="0080620D" w:rsidRPr="009002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80620D" w:rsidRPr="0090022F">
        <w:rPr>
          <w:rFonts w:asciiTheme="minorHAnsi" w:hAnsiTheme="minorHAnsi"/>
          <w:color w:val="000000" w:themeColor="text1"/>
          <w:sz w:val="22"/>
          <w:szCs w:val="22"/>
        </w:rPr>
        <w:t xml:space="preserve">Nature 4 Health project about the Natural </w:t>
      </w:r>
      <w:r w:rsidR="00E06EE9">
        <w:rPr>
          <w:rFonts w:asciiTheme="minorHAnsi" w:hAnsiTheme="minorHAnsi"/>
          <w:color w:val="000000" w:themeColor="text1"/>
          <w:sz w:val="22"/>
          <w:szCs w:val="22"/>
        </w:rPr>
        <w:t>H</w:t>
      </w:r>
      <w:r w:rsidR="0080620D" w:rsidRPr="0090022F">
        <w:rPr>
          <w:rFonts w:asciiTheme="minorHAnsi" w:hAnsiTheme="minorHAnsi"/>
          <w:color w:val="000000" w:themeColor="text1"/>
          <w:sz w:val="22"/>
          <w:szCs w:val="22"/>
        </w:rPr>
        <w:t>ealth Service (</w:t>
      </w:r>
      <w:hyperlink r:id="rId11" w:history="1">
        <w:r w:rsidR="0090022F" w:rsidRPr="0090022F">
          <w:rPr>
            <w:rStyle w:val="Hyperlink"/>
            <w:rFonts w:asciiTheme="minorHAnsi" w:hAnsiTheme="minorHAnsi"/>
            <w:color w:val="000000" w:themeColor="text1"/>
            <w:sz w:val="22"/>
            <w:szCs w:val="22"/>
          </w:rPr>
          <w:t>http://nature4health.impacts.report/</w:t>
        </w:r>
      </w:hyperlink>
      <w:r w:rsidR="0080620D" w:rsidRPr="0090022F">
        <w:rPr>
          <w:rFonts w:asciiTheme="minorHAnsi" w:hAnsiTheme="minorHAnsi"/>
          <w:color w:val="000000" w:themeColor="text1"/>
          <w:sz w:val="22"/>
          <w:szCs w:val="22"/>
        </w:rPr>
        <w:t>)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90022F" w:rsidRPr="0090022F">
        <w:rPr>
          <w:rFonts w:asciiTheme="minorHAnsi" w:hAnsiTheme="minorHAnsi"/>
          <w:color w:val="000000" w:themeColor="text1"/>
          <w:sz w:val="22"/>
          <w:szCs w:val="22"/>
        </w:rPr>
        <w:t>This gr</w:t>
      </w:r>
      <w:r w:rsidR="00385A57">
        <w:rPr>
          <w:rFonts w:asciiTheme="minorHAnsi" w:hAnsiTheme="minorHAnsi"/>
          <w:color w:val="000000" w:themeColor="text1"/>
          <w:sz w:val="22"/>
          <w:szCs w:val="22"/>
        </w:rPr>
        <w:t>oup has also taken an interest i</w:t>
      </w:r>
      <w:r w:rsidR="0090022F" w:rsidRPr="0090022F">
        <w:rPr>
          <w:rFonts w:asciiTheme="minorHAnsi" w:hAnsiTheme="minorHAnsi"/>
          <w:color w:val="000000" w:themeColor="text1"/>
          <w:sz w:val="22"/>
          <w:szCs w:val="22"/>
        </w:rPr>
        <w:t xml:space="preserve">n engagement programmes; one internally looking at developing and </w:t>
      </w:r>
      <w:r w:rsidR="00C04E17" w:rsidRPr="0090022F">
        <w:rPr>
          <w:rFonts w:asciiTheme="minorHAnsi" w:hAnsiTheme="minorHAnsi"/>
          <w:color w:val="000000" w:themeColor="text1"/>
          <w:sz w:val="22"/>
          <w:szCs w:val="22"/>
        </w:rPr>
        <w:t>optimising the</w:t>
      </w:r>
      <w:r w:rsidR="0090022F" w:rsidRPr="0090022F">
        <w:rPr>
          <w:rFonts w:asciiTheme="minorHAnsi" w:hAnsiTheme="minorHAnsi"/>
          <w:color w:val="000000" w:themeColor="text1"/>
          <w:sz w:val="22"/>
          <w:szCs w:val="22"/>
        </w:rPr>
        <w:t xml:space="preserve"> use of green space around the campus </w:t>
      </w:r>
      <w:r w:rsidR="0090022F">
        <w:rPr>
          <w:rFonts w:asciiTheme="minorHAnsi" w:hAnsiTheme="minorHAnsi"/>
          <w:color w:val="000000" w:themeColor="text1"/>
          <w:sz w:val="22"/>
          <w:szCs w:val="22"/>
        </w:rPr>
        <w:t>to enhance the wellbeing of staff and student</w:t>
      </w:r>
      <w:r w:rsidR="00385A57">
        <w:rPr>
          <w:rFonts w:asciiTheme="minorHAnsi" w:hAnsiTheme="minorHAnsi"/>
          <w:color w:val="000000" w:themeColor="text1"/>
          <w:sz w:val="22"/>
          <w:szCs w:val="22"/>
        </w:rPr>
        <w:t>s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385A57">
        <w:rPr>
          <w:rFonts w:asciiTheme="minorHAnsi" w:hAnsiTheme="minorHAnsi"/>
          <w:color w:val="000000" w:themeColor="text1"/>
          <w:sz w:val="22"/>
          <w:szCs w:val="22"/>
        </w:rPr>
        <w:t xml:space="preserve"> and </w:t>
      </w:r>
      <w:r>
        <w:rPr>
          <w:rFonts w:asciiTheme="minorHAnsi" w:hAnsiTheme="minorHAnsi"/>
          <w:color w:val="000000" w:themeColor="text1"/>
          <w:sz w:val="22"/>
          <w:szCs w:val="22"/>
        </w:rPr>
        <w:t>one</w:t>
      </w:r>
      <w:r w:rsidR="00385A57">
        <w:rPr>
          <w:rFonts w:asciiTheme="minorHAnsi" w:hAnsiTheme="minorHAnsi"/>
          <w:color w:val="000000" w:themeColor="text1"/>
          <w:sz w:val="22"/>
          <w:szCs w:val="22"/>
        </w:rPr>
        <w:t xml:space="preserve"> with Alder Hey around developing</w:t>
      </w:r>
      <w:r w:rsidR="0090022F">
        <w:rPr>
          <w:rFonts w:asciiTheme="minorHAnsi" w:hAnsiTheme="minorHAnsi"/>
          <w:color w:val="000000" w:themeColor="text1"/>
          <w:sz w:val="22"/>
          <w:szCs w:val="22"/>
        </w:rPr>
        <w:t xml:space="preserve"> Springfield </w:t>
      </w:r>
      <w:r w:rsidR="00C04E17">
        <w:rPr>
          <w:rFonts w:asciiTheme="minorHAnsi" w:hAnsiTheme="minorHAnsi"/>
          <w:color w:val="000000" w:themeColor="text1"/>
          <w:sz w:val="22"/>
          <w:szCs w:val="22"/>
        </w:rPr>
        <w:t>Park</w:t>
      </w:r>
      <w:r w:rsidR="0090022F">
        <w:rPr>
          <w:rFonts w:asciiTheme="minorHAnsi" w:hAnsi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85A57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EC1288">
        <w:rPr>
          <w:rFonts w:asciiTheme="minorHAnsi" w:hAnsiTheme="minorHAnsi" w:cstheme="minorHAnsi"/>
          <w:color w:val="000000"/>
          <w:sz w:val="22"/>
          <w:szCs w:val="22"/>
        </w:rPr>
        <w:t>Children</w:t>
      </w:r>
      <w:r w:rsidR="00385A57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="00EC1288"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="00EC1288">
        <w:rPr>
          <w:rFonts w:asciiTheme="minorHAnsi" w:hAnsiTheme="minorHAnsi" w:cstheme="minorHAnsi"/>
          <w:color w:val="000000"/>
          <w:sz w:val="22"/>
          <w:szCs w:val="22"/>
        </w:rPr>
        <w:t>ealth</w:t>
      </w:r>
      <w:r w:rsidR="00385A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385A57">
        <w:rPr>
          <w:rFonts w:asciiTheme="minorHAnsi" w:hAnsiTheme="minorHAnsi" w:cstheme="minorHAnsi"/>
          <w:color w:val="000000"/>
          <w:sz w:val="22"/>
          <w:szCs w:val="22"/>
        </w:rPr>
        <w:t>roup engage with the Paediatric</w:t>
      </w:r>
      <w:r w:rsidR="00173F32">
        <w:rPr>
          <w:rFonts w:asciiTheme="minorHAnsi" w:hAnsiTheme="minorHAnsi" w:cstheme="minorHAnsi"/>
          <w:color w:val="000000"/>
          <w:sz w:val="22"/>
          <w:szCs w:val="22"/>
        </w:rPr>
        <w:t xml:space="preserve"> Medicines Research U</w:t>
      </w:r>
      <w:r w:rsidR="00385A57">
        <w:rPr>
          <w:rFonts w:asciiTheme="minorHAnsi" w:hAnsiTheme="minorHAnsi" w:cstheme="minorHAnsi"/>
          <w:color w:val="000000"/>
          <w:sz w:val="22"/>
          <w:szCs w:val="22"/>
        </w:rPr>
        <w:t>nit</w:t>
      </w:r>
      <w:r w:rsidR="00173F32">
        <w:rPr>
          <w:rFonts w:asciiTheme="minorHAnsi" w:hAnsiTheme="minorHAnsi" w:cstheme="minorHAnsi"/>
          <w:color w:val="000000"/>
          <w:sz w:val="22"/>
          <w:szCs w:val="22"/>
        </w:rPr>
        <w:t xml:space="preserve"> (PMRU) at Alder Hey </w:t>
      </w:r>
      <w:r w:rsidR="00717668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="00173F32">
        <w:rPr>
          <w:rFonts w:asciiTheme="minorHAnsi" w:hAnsiTheme="minorHAnsi" w:cstheme="minorHAnsi"/>
          <w:color w:val="000000"/>
          <w:sz w:val="22"/>
          <w:szCs w:val="22"/>
        </w:rPr>
        <w:t xml:space="preserve"> recently held a workshop at Liverpool</w:t>
      </w:r>
      <w:r w:rsidR="007176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3F32">
        <w:rPr>
          <w:rFonts w:asciiTheme="minorHAnsi" w:hAnsiTheme="minorHAnsi" w:cstheme="minorHAnsi"/>
          <w:color w:val="000000"/>
          <w:sz w:val="22"/>
          <w:szCs w:val="22"/>
        </w:rPr>
        <w:t xml:space="preserve">Woman’s Hospital to develop new collaborations. </w:t>
      </w:r>
    </w:p>
    <w:p w14:paraId="0BAE75F0" w14:textId="61ECF166" w:rsidR="00016408" w:rsidRDefault="00016408" w:rsidP="0001640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7115">
        <w:rPr>
          <w:rFonts w:asciiTheme="minorHAnsi" w:hAnsiTheme="minorHAnsi" w:cstheme="minorHAnsi"/>
          <w:b/>
          <w:noProof/>
          <w:color w:val="000000"/>
          <w:sz w:val="22"/>
          <w:szCs w:val="22"/>
          <w:lang w:eastAsia="en-GB"/>
        </w:rPr>
        <w:drawing>
          <wp:anchor distT="0" distB="0" distL="114300" distR="114300" simplePos="0" relativeHeight="251673600" behindDoc="0" locked="0" layoutInCell="1" allowOverlap="1" wp14:anchorId="3EEA9863" wp14:editId="336F3D9A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4285615" cy="3161030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1" r="12253"/>
                    <a:stretch/>
                  </pic:blipFill>
                  <pic:spPr bwMode="auto">
                    <a:xfrm>
                      <a:off x="0" y="0"/>
                      <a:ext cx="4285615" cy="316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4D4" w:rsidRPr="00F727D8">
        <w:rPr>
          <w:rFonts w:asciiTheme="minorHAnsi" w:hAnsiTheme="minorHAnsi" w:cstheme="minorHAnsi"/>
          <w:color w:val="000000"/>
          <w:sz w:val="22"/>
          <w:szCs w:val="22"/>
        </w:rPr>
        <w:t xml:space="preserve">A key driver of the IHR is to understand and address key </w:t>
      </w:r>
      <w:r w:rsidR="00E06EE9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5904D4" w:rsidRPr="00F727D8">
        <w:rPr>
          <w:rFonts w:asciiTheme="minorHAnsi" w:hAnsiTheme="minorHAnsi" w:cstheme="minorHAnsi"/>
          <w:color w:val="000000"/>
          <w:sz w:val="22"/>
          <w:szCs w:val="22"/>
        </w:rPr>
        <w:t>xternal research priorities</w:t>
      </w:r>
      <w:r w:rsidR="005818AF">
        <w:rPr>
          <w:rFonts w:asciiTheme="minorHAnsi" w:hAnsiTheme="minorHAnsi" w:cstheme="minorHAnsi"/>
          <w:color w:val="000000"/>
          <w:sz w:val="22"/>
          <w:szCs w:val="22"/>
        </w:rPr>
        <w:t xml:space="preserve"> (objective</w:t>
      </w:r>
      <w:r w:rsidR="00C87CF6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5818AF">
        <w:rPr>
          <w:rFonts w:asciiTheme="minorHAnsi" w:hAnsiTheme="minorHAnsi" w:cstheme="minorHAnsi"/>
          <w:color w:val="000000"/>
          <w:sz w:val="22"/>
          <w:szCs w:val="22"/>
        </w:rPr>
        <w:t xml:space="preserve"> 3</w:t>
      </w:r>
      <w:r w:rsidR="00C87CF6">
        <w:rPr>
          <w:rFonts w:asciiTheme="minorHAnsi" w:hAnsiTheme="minorHAnsi" w:cstheme="minorHAnsi"/>
          <w:color w:val="000000"/>
          <w:sz w:val="22"/>
          <w:szCs w:val="22"/>
        </w:rPr>
        <w:t xml:space="preserve"> and 6</w:t>
      </w:r>
      <w:r w:rsidR="005818A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5904D4" w:rsidRPr="00F727D8">
        <w:rPr>
          <w:rFonts w:asciiTheme="minorHAnsi" w:hAnsiTheme="minorHAnsi" w:cstheme="minorHAnsi"/>
          <w:color w:val="000000"/>
          <w:sz w:val="22"/>
          <w:szCs w:val="22"/>
        </w:rPr>
        <w:t xml:space="preserve">. This has been achieved by engaging with local NHS trusts via Liverpool </w:t>
      </w:r>
      <w:r w:rsidR="00C04E17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="005904D4" w:rsidRPr="00F727D8">
        <w:rPr>
          <w:rFonts w:asciiTheme="minorHAnsi" w:hAnsiTheme="minorHAnsi" w:cstheme="minorHAnsi"/>
          <w:color w:val="000000"/>
          <w:sz w:val="22"/>
          <w:szCs w:val="22"/>
        </w:rPr>
        <w:t>ealth Partners</w:t>
      </w:r>
      <w:r w:rsidR="002F40C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904D4" w:rsidRPr="00F727D8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="002F40C3">
        <w:rPr>
          <w:rFonts w:asciiTheme="minorHAnsi" w:hAnsiTheme="minorHAnsi" w:cstheme="minorHAnsi"/>
          <w:color w:val="000000"/>
          <w:sz w:val="22"/>
          <w:szCs w:val="22"/>
        </w:rPr>
        <w:t>hosting workshops</w:t>
      </w:r>
      <w:r w:rsidR="005904D4" w:rsidRPr="00F727D8">
        <w:rPr>
          <w:rFonts w:asciiTheme="minorHAnsi" w:hAnsiTheme="minorHAnsi" w:cstheme="minorHAnsi"/>
          <w:color w:val="000000"/>
          <w:sz w:val="22"/>
          <w:szCs w:val="22"/>
        </w:rPr>
        <w:t xml:space="preserve"> with clinical researchers </w:t>
      </w:r>
      <w:r w:rsidR="00915315" w:rsidRPr="00F727D8">
        <w:rPr>
          <w:rFonts w:asciiTheme="minorHAnsi" w:hAnsiTheme="minorHAnsi" w:cstheme="minorHAnsi"/>
          <w:color w:val="000000"/>
          <w:sz w:val="22"/>
          <w:szCs w:val="22"/>
        </w:rPr>
        <w:t>to spark new ideas and develop collaborative opportunities</w:t>
      </w:r>
      <w:r w:rsidR="0077277E">
        <w:rPr>
          <w:rFonts w:asciiTheme="minorHAnsi" w:hAnsiTheme="minorHAnsi" w:cstheme="minorHAnsi"/>
          <w:color w:val="000000"/>
          <w:sz w:val="22"/>
          <w:szCs w:val="22"/>
        </w:rPr>
        <w:t xml:space="preserve"> (figure 5)</w:t>
      </w:r>
      <w:r w:rsidR="002F40C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C1288">
        <w:rPr>
          <w:rFonts w:asciiTheme="minorHAnsi" w:hAnsiTheme="minorHAnsi" w:cstheme="minorHAnsi"/>
          <w:color w:val="000000"/>
          <w:sz w:val="22"/>
          <w:szCs w:val="22"/>
        </w:rPr>
        <w:t>The research ongoing within the IHR was central to the new</w:t>
      </w:r>
      <w:r w:rsidR="002F40C3">
        <w:rPr>
          <w:rFonts w:asciiTheme="minorHAnsi" w:hAnsiTheme="minorHAnsi" w:cstheme="minorHAnsi"/>
          <w:color w:val="000000"/>
          <w:sz w:val="22"/>
          <w:szCs w:val="22"/>
        </w:rPr>
        <w:t>ly developed</w:t>
      </w:r>
      <w:r w:rsidR="00EC1288">
        <w:rPr>
          <w:rFonts w:asciiTheme="minorHAnsi" w:hAnsiTheme="minorHAnsi" w:cstheme="minorHAnsi"/>
          <w:color w:val="000000"/>
          <w:sz w:val="22"/>
          <w:szCs w:val="22"/>
        </w:rPr>
        <w:t xml:space="preserve"> LHP strategy which has an increased focus on the health needs of the local population and on prevention and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1288">
        <w:rPr>
          <w:rFonts w:asciiTheme="minorHAnsi" w:hAnsiTheme="minorHAnsi" w:cstheme="minorHAnsi"/>
          <w:color w:val="000000"/>
          <w:sz w:val="22"/>
          <w:szCs w:val="22"/>
        </w:rPr>
        <w:t>rehabilitation compared to the previous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1288">
        <w:rPr>
          <w:rFonts w:asciiTheme="minorHAnsi" w:hAnsiTheme="minorHAnsi" w:cstheme="minorHAnsi"/>
          <w:color w:val="000000"/>
          <w:sz w:val="22"/>
          <w:szCs w:val="22"/>
        </w:rPr>
        <w:t xml:space="preserve">almost exclusive medical focus. </w:t>
      </w:r>
      <w:r w:rsidR="0047568F" w:rsidRPr="00752944">
        <w:rPr>
          <w:rFonts w:asciiTheme="minorHAnsi" w:hAnsiTheme="minorHAnsi" w:cstheme="minorHAnsi"/>
          <w:color w:val="000000"/>
          <w:sz w:val="22"/>
          <w:szCs w:val="22"/>
        </w:rPr>
        <w:t>Via the IHR, LJMU was included as a partner in the new NIHR Applied Research Centre (ARC) N</w:t>
      </w:r>
      <w:r w:rsidR="002F40C3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47568F" w:rsidRPr="00752944">
        <w:rPr>
          <w:rFonts w:asciiTheme="minorHAnsi" w:hAnsiTheme="minorHAnsi" w:cstheme="minorHAnsi"/>
          <w:color w:val="000000"/>
          <w:sz w:val="22"/>
          <w:szCs w:val="22"/>
        </w:rPr>
        <w:t xml:space="preserve">C bid that </w:t>
      </w:r>
      <w:r w:rsidR="002F40C3">
        <w:rPr>
          <w:rFonts w:asciiTheme="minorHAnsi" w:hAnsiTheme="minorHAnsi" w:cstheme="minorHAnsi"/>
          <w:color w:val="000000"/>
          <w:sz w:val="22"/>
          <w:szCs w:val="22"/>
        </w:rPr>
        <w:t xml:space="preserve">will </w:t>
      </w:r>
      <w:r w:rsidR="0047568F" w:rsidRPr="00752944">
        <w:rPr>
          <w:rFonts w:asciiTheme="minorHAnsi" w:hAnsiTheme="minorHAnsi" w:cstheme="minorHAnsi"/>
          <w:color w:val="000000"/>
          <w:sz w:val="22"/>
          <w:szCs w:val="22"/>
        </w:rPr>
        <w:t>follow on from the existing CLAHRC</w:t>
      </w:r>
      <w:r w:rsidR="002F40C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7568F" w:rsidRPr="007529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B50890F" w14:textId="59F5B9EF" w:rsidR="00016408" w:rsidRDefault="00016408" w:rsidP="0001640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4837F" wp14:editId="61A1E3CD">
                <wp:simplePos x="0" y="0"/>
                <wp:positionH relativeFrom="column">
                  <wp:posOffset>276330</wp:posOffset>
                </wp:positionH>
                <wp:positionV relativeFrom="paragraph">
                  <wp:posOffset>58043</wp:posOffset>
                </wp:positionV>
                <wp:extent cx="3705225" cy="258082"/>
                <wp:effectExtent l="0" t="0" r="9525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58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DA09F" w14:textId="3957F1BD" w:rsidR="001A07B3" w:rsidRPr="00E06EE9" w:rsidRDefault="001A07B3" w:rsidP="001A07B3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E06EE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Figure 5: Relationship between IHR</w:t>
                            </w:r>
                            <w:r w:rsidR="00C04E17" w:rsidRPr="00E06EE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, Internal</w:t>
                            </w:r>
                            <w:r w:rsidRPr="00E06EE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LJMU Health </w:t>
                            </w:r>
                            <w:r w:rsidR="00C04E17" w:rsidRPr="00E06EE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Research and</w:t>
                            </w:r>
                            <w:r w:rsidRPr="00E06EE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external stakeholders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837F" id="Text Box 6" o:spid="_x0000_s1031" type="#_x0000_t202" style="position:absolute;left:0;text-align:left;margin-left:21.75pt;margin-top:4.55pt;width:291.75pt;height:2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" fillcolor="white [3201]" stroked="f" strokeweight=".5pt">
                <v:textbox>
                  <w:txbxContent>
                    <w:p w14:paraId="4EFDA09F" w14:textId="3957F1BD" w:rsidR="001A07B3" w:rsidRPr="00E06EE9" w:rsidRDefault="001A07B3" w:rsidP="001A07B3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E06EE9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Figure 5: Relationship between IHR</w:t>
                      </w:r>
                      <w:r w:rsidR="00C04E17" w:rsidRPr="00E06EE9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, Internal</w:t>
                      </w:r>
                      <w:r w:rsidRPr="00E06EE9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LJMU Health </w:t>
                      </w:r>
                      <w:r w:rsidR="00C04E17" w:rsidRPr="00E06EE9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Research and</w:t>
                      </w:r>
                      <w:r w:rsidRPr="00E06EE9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external stakeholders</w:t>
                      </w:r>
                    </w:p>
                  </w:txbxContent>
                </v:textbox>
              </v:shape>
            </w:pict>
          </mc:Fallback>
        </mc:AlternateContent>
      </w:r>
    </w:p>
    <w:p w14:paraId="32FCBA4F" w14:textId="77777777" w:rsidR="00016408" w:rsidRDefault="00016408" w:rsidP="0001640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EFFEA0" w14:textId="5BA70F24" w:rsidR="0047568F" w:rsidRPr="00016408" w:rsidRDefault="002F40C3" w:rsidP="00016408">
      <w:pPr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47568F" w:rsidRPr="00752944">
        <w:rPr>
          <w:rFonts w:asciiTheme="minorHAnsi" w:hAnsiTheme="minorHAnsi" w:cstheme="minorHAnsi"/>
          <w:color w:val="000000"/>
          <w:sz w:val="22"/>
          <w:szCs w:val="22"/>
        </w:rPr>
        <w:t xml:space="preserve">his will open up </w:t>
      </w:r>
      <w:r>
        <w:rPr>
          <w:rFonts w:asciiTheme="minorHAnsi" w:hAnsiTheme="minorHAnsi" w:cstheme="minorHAnsi"/>
          <w:color w:val="000000"/>
          <w:sz w:val="22"/>
          <w:szCs w:val="22"/>
        </w:rPr>
        <w:t>more</w:t>
      </w:r>
      <w:r w:rsidR="0047568F" w:rsidRPr="00752944">
        <w:rPr>
          <w:rFonts w:asciiTheme="minorHAnsi" w:hAnsiTheme="minorHAnsi" w:cstheme="minorHAnsi"/>
          <w:color w:val="000000"/>
          <w:sz w:val="22"/>
          <w:szCs w:val="22"/>
        </w:rPr>
        <w:t xml:space="preserve"> opportunities for applied health research with a focus on the health inequalities of the local population. </w:t>
      </w:r>
      <w:r w:rsidR="001A07B3">
        <w:rPr>
          <w:rFonts w:asciiTheme="minorHAnsi" w:hAnsiTheme="minorHAnsi" w:cstheme="minorHAnsi"/>
          <w:color w:val="000000"/>
          <w:sz w:val="22"/>
          <w:szCs w:val="22"/>
        </w:rPr>
        <w:t>Many</w:t>
      </w:r>
      <w:r w:rsidR="001A07B3" w:rsidRPr="001B69D9">
        <w:rPr>
          <w:rFonts w:asciiTheme="minorHAnsi" w:hAnsiTheme="minorHAnsi" w:cstheme="minorHAnsi"/>
          <w:color w:val="000000"/>
          <w:sz w:val="22"/>
          <w:szCs w:val="22"/>
        </w:rPr>
        <w:t xml:space="preserve"> interest group</w:t>
      </w:r>
      <w:r w:rsidR="001A07B3">
        <w:rPr>
          <w:rFonts w:asciiTheme="minorHAnsi" w:hAnsiTheme="minorHAnsi" w:cstheme="minorHAnsi"/>
          <w:color w:val="000000"/>
          <w:sz w:val="22"/>
          <w:szCs w:val="22"/>
        </w:rPr>
        <w:t xml:space="preserve"> activities</w:t>
      </w:r>
      <w:r w:rsidR="001A07B3" w:rsidRPr="001B69D9">
        <w:rPr>
          <w:rFonts w:asciiTheme="minorHAnsi" w:hAnsiTheme="minorHAnsi" w:cstheme="minorHAnsi"/>
          <w:color w:val="000000"/>
          <w:sz w:val="22"/>
          <w:szCs w:val="22"/>
        </w:rPr>
        <w:t xml:space="preserve"> are linked to</w:t>
      </w:r>
      <w:r w:rsidR="001A07B3">
        <w:rPr>
          <w:rFonts w:asciiTheme="minorHAnsi" w:hAnsiTheme="minorHAnsi" w:cstheme="minorHAnsi"/>
          <w:color w:val="000000"/>
          <w:sz w:val="22"/>
          <w:szCs w:val="22"/>
        </w:rPr>
        <w:t xml:space="preserve"> the</w:t>
      </w:r>
      <w:r w:rsidR="001A07B3" w:rsidRPr="001B69D9">
        <w:rPr>
          <w:rFonts w:asciiTheme="minorHAnsi" w:hAnsiTheme="minorHAnsi" w:cstheme="minorHAnsi"/>
          <w:color w:val="000000"/>
          <w:sz w:val="22"/>
          <w:szCs w:val="22"/>
        </w:rPr>
        <w:t xml:space="preserve"> external </w:t>
      </w:r>
      <w:r w:rsidR="001A07B3" w:rsidRPr="00752944">
        <w:rPr>
          <w:rFonts w:asciiTheme="minorHAnsi" w:hAnsiTheme="minorHAnsi" w:cstheme="minorHAnsi"/>
          <w:color w:val="000000"/>
          <w:sz w:val="22"/>
          <w:szCs w:val="22"/>
        </w:rPr>
        <w:t>priorities, for example of</w:t>
      </w:r>
      <w:r w:rsidR="001A07B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A07B3" w:rsidRPr="00752944">
        <w:rPr>
          <w:rFonts w:asciiTheme="minorHAnsi" w:hAnsiTheme="minorHAnsi" w:cstheme="minorHAnsi"/>
          <w:color w:val="000000"/>
          <w:sz w:val="22"/>
          <w:szCs w:val="22"/>
        </w:rPr>
        <w:t xml:space="preserve"> local NHS trusts such as</w:t>
      </w:r>
      <w:r w:rsidR="001A07B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A07B3" w:rsidRPr="007529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07B3">
        <w:rPr>
          <w:rFonts w:asciiTheme="minorHAnsi" w:hAnsiTheme="minorHAnsi" w:cstheme="minorHAnsi"/>
          <w:color w:val="000000"/>
          <w:sz w:val="22"/>
          <w:szCs w:val="22"/>
        </w:rPr>
        <w:t xml:space="preserve">LHCH; </w:t>
      </w:r>
      <w:r w:rsidR="001A07B3" w:rsidRPr="00752944">
        <w:rPr>
          <w:rFonts w:asciiTheme="minorHAnsi" w:hAnsiTheme="minorHAnsi" w:cstheme="minorHAnsi"/>
          <w:color w:val="000000"/>
          <w:sz w:val="22"/>
          <w:szCs w:val="22"/>
        </w:rPr>
        <w:t>Merseycare</w:t>
      </w:r>
      <w:r w:rsidR="001A07B3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1A07B3" w:rsidRPr="00752944">
        <w:rPr>
          <w:rFonts w:asciiTheme="minorHAnsi" w:hAnsiTheme="minorHAnsi" w:cstheme="minorHAnsi"/>
          <w:color w:val="000000"/>
          <w:sz w:val="22"/>
          <w:szCs w:val="22"/>
        </w:rPr>
        <w:t xml:space="preserve"> Clatterbridge Cancer Centre</w:t>
      </w:r>
      <w:r w:rsidR="001A07B3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1A07B3" w:rsidRPr="00752944">
        <w:rPr>
          <w:rFonts w:asciiTheme="minorHAnsi" w:hAnsiTheme="minorHAnsi" w:cstheme="minorHAnsi"/>
          <w:color w:val="000000"/>
          <w:sz w:val="22"/>
          <w:szCs w:val="22"/>
        </w:rPr>
        <w:t xml:space="preserve"> Alder Hey</w:t>
      </w:r>
      <w:r w:rsidR="001A07B3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1A07B3" w:rsidRPr="00752944">
        <w:rPr>
          <w:rFonts w:asciiTheme="minorHAnsi" w:hAnsiTheme="minorHAnsi" w:cstheme="minorHAnsi"/>
          <w:color w:val="000000"/>
          <w:sz w:val="22"/>
          <w:szCs w:val="22"/>
        </w:rPr>
        <w:t xml:space="preserve"> and Liverpool Woman’s</w:t>
      </w:r>
      <w:r w:rsidR="001A07B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04E17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="001A07B3">
        <w:rPr>
          <w:rFonts w:asciiTheme="minorHAnsi" w:hAnsiTheme="minorHAnsi" w:cstheme="minorHAnsi"/>
          <w:color w:val="000000"/>
          <w:sz w:val="22"/>
          <w:szCs w:val="22"/>
        </w:rPr>
        <w:t>ospital</w:t>
      </w:r>
      <w:r w:rsidR="001A07B3" w:rsidRPr="00752944">
        <w:rPr>
          <w:rFonts w:asciiTheme="minorHAnsi" w:hAnsiTheme="minorHAnsi" w:cstheme="minorHAnsi"/>
          <w:color w:val="000000"/>
          <w:sz w:val="22"/>
          <w:szCs w:val="22"/>
        </w:rPr>
        <w:t>, local public health needs and to supporting the wellbeing of LJMU staff and students</w:t>
      </w:r>
      <w:r w:rsidR="001A07B3">
        <w:rPr>
          <w:rFonts w:asciiTheme="minorHAnsi" w:hAnsiTheme="minorHAnsi" w:cstheme="minorHAnsi"/>
          <w:color w:val="000000"/>
          <w:sz w:val="22"/>
          <w:szCs w:val="22"/>
        </w:rPr>
        <w:t xml:space="preserve"> (objective 5)</w:t>
      </w:r>
      <w:r w:rsidR="001A07B3" w:rsidRPr="0075294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1A07B3">
        <w:rPr>
          <w:rFonts w:asciiTheme="minorHAnsi" w:hAnsiTheme="minorHAnsi" w:cstheme="minorHAnsi"/>
          <w:color w:val="000000"/>
          <w:sz w:val="22"/>
          <w:szCs w:val="22"/>
        </w:rPr>
        <w:t xml:space="preserve"> For example, the IHR has been working with LHP to develop study days for primary and secondary healthcare on the topic of social prescribing either in the community or upon </w:t>
      </w:r>
      <w:r w:rsidR="00C04E17">
        <w:rPr>
          <w:rFonts w:asciiTheme="minorHAnsi" w:hAnsiTheme="minorHAnsi" w:cstheme="minorHAnsi"/>
          <w:color w:val="000000"/>
          <w:sz w:val="22"/>
          <w:szCs w:val="22"/>
        </w:rPr>
        <w:t>discharge</w:t>
      </w:r>
      <w:r w:rsidR="001A07B3">
        <w:rPr>
          <w:rFonts w:asciiTheme="minorHAnsi" w:hAnsiTheme="minorHAnsi" w:cstheme="minorHAnsi"/>
          <w:color w:val="000000"/>
          <w:sz w:val="22"/>
          <w:szCs w:val="22"/>
        </w:rPr>
        <w:t xml:space="preserve"> from secondary care.</w:t>
      </w:r>
    </w:p>
    <w:p w14:paraId="11706BE9" w14:textId="5DE8163B" w:rsidR="00B34F42" w:rsidRPr="003141E6" w:rsidRDefault="0080620D" w:rsidP="003141E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0620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lastRenderedPageBreak/>
        <w:t>PhD studentships</w:t>
      </w:r>
      <w:r w:rsidR="001163AD" w:rsidRPr="001163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The IHR is now in its 3</w:t>
      </w:r>
      <w:r w:rsidRPr="0080620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year of annually supporting four </w:t>
      </w:r>
      <w:r w:rsidR="00B7461D">
        <w:rPr>
          <w:rFonts w:asciiTheme="minorHAnsi" w:hAnsiTheme="minorHAnsi" w:cstheme="minorHAnsi"/>
          <w:color w:val="000000"/>
          <w:sz w:val="22"/>
          <w:szCs w:val="22"/>
        </w:rPr>
        <w:t>C</w:t>
      </w:r>
      <w:r>
        <w:rPr>
          <w:rFonts w:asciiTheme="minorHAnsi" w:hAnsiTheme="minorHAnsi" w:cstheme="minorHAnsi"/>
          <w:color w:val="000000"/>
          <w:sz w:val="22"/>
          <w:szCs w:val="22"/>
        </w:rPr>
        <w:t>ross</w:t>
      </w:r>
      <w:r w:rsidR="00B7461D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021F9E">
        <w:rPr>
          <w:rFonts w:asciiTheme="minorHAnsi" w:hAnsiTheme="minorHAnsi" w:cstheme="minorHAnsi"/>
          <w:color w:val="000000"/>
          <w:sz w:val="22"/>
          <w:szCs w:val="22"/>
        </w:rPr>
        <w:t>F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aculty (EHC and SCI) studentships. </w:t>
      </w:r>
      <w:r w:rsidR="006B7A66">
        <w:rPr>
          <w:rFonts w:asciiTheme="minorHAnsi" w:hAnsiTheme="minorHAnsi" w:cstheme="minorHAnsi"/>
          <w:color w:val="000000"/>
          <w:sz w:val="22"/>
          <w:szCs w:val="22"/>
        </w:rPr>
        <w:t xml:space="preserve"> These are mainly linked to interest groups  priorities, cardiovascular care, forest schools, substance use, mental health etc. </w:t>
      </w:r>
      <w:r w:rsidR="00021F9E">
        <w:rPr>
          <w:rFonts w:asciiTheme="minorHAnsi" w:hAnsiTheme="minorHAnsi" w:cstheme="minorHAnsi"/>
          <w:color w:val="000000"/>
          <w:sz w:val="22"/>
          <w:szCs w:val="22"/>
        </w:rPr>
        <w:t xml:space="preserve">Starting in 2019, </w:t>
      </w:r>
      <w:r w:rsidR="006B7A66">
        <w:rPr>
          <w:rFonts w:asciiTheme="minorHAnsi" w:hAnsiTheme="minorHAnsi" w:cstheme="minorHAnsi"/>
          <w:color w:val="000000"/>
          <w:sz w:val="22"/>
          <w:szCs w:val="22"/>
        </w:rPr>
        <w:t xml:space="preserve"> now that we have a full three year cohort, the IHR will provide additional researcher development support to this group of students and host 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021F9E">
        <w:rPr>
          <w:rFonts w:asciiTheme="minorHAnsi" w:hAnsiTheme="minorHAnsi" w:cstheme="minorHAnsi"/>
          <w:color w:val="000000"/>
          <w:sz w:val="22"/>
          <w:szCs w:val="22"/>
        </w:rPr>
        <w:t>n annual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research seminar session will be held where current IHR-funded PhD students will do an oral (year 3) or poster (year 2) presentation to </w:t>
      </w:r>
      <w:r w:rsidR="00B7461D">
        <w:rPr>
          <w:rFonts w:asciiTheme="minorHAnsi" w:hAnsiTheme="minorHAnsi" w:cstheme="minorHAnsi"/>
          <w:color w:val="000000"/>
          <w:sz w:val="22"/>
          <w:szCs w:val="22"/>
        </w:rPr>
        <w:t xml:space="preserve">LJMU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staff and </w:t>
      </w:r>
      <w:r w:rsidR="00021F9E">
        <w:rPr>
          <w:rFonts w:asciiTheme="minorHAnsi" w:hAnsiTheme="minorHAnsi" w:cstheme="minorHAnsi"/>
          <w:color w:val="000000"/>
          <w:sz w:val="22"/>
          <w:szCs w:val="22"/>
        </w:rPr>
        <w:t xml:space="preserve">postgraduate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students </w:t>
      </w:r>
      <w:r w:rsidR="00021F9E">
        <w:rPr>
          <w:rFonts w:asciiTheme="minorHAnsi" w:hAnsiTheme="minorHAnsi" w:cstheme="minorHAnsi"/>
          <w:color w:val="000000"/>
          <w:sz w:val="22"/>
          <w:szCs w:val="22"/>
        </w:rPr>
        <w:t>and relevant collaborators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D20FB0">
        <w:rPr>
          <w:rFonts w:asciiTheme="minorHAnsi" w:hAnsiTheme="minorHAnsi" w:cstheme="minorHAnsi"/>
          <w:color w:val="000000"/>
          <w:sz w:val="22"/>
          <w:szCs w:val="22"/>
        </w:rPr>
        <w:t xml:space="preserve"> The Board is currently exploring whether this could be extended to include other Faculties.</w:t>
      </w:r>
    </w:p>
    <w:p w14:paraId="77FD6A85" w14:textId="64C112AB" w:rsidR="00A56209" w:rsidRPr="004D21B9" w:rsidRDefault="00B34F42" w:rsidP="00B8055B">
      <w:pPr>
        <w:pStyle w:val="Header"/>
        <w:tabs>
          <w:tab w:val="clear" w:pos="4513"/>
          <w:tab w:val="clear" w:pos="9026"/>
          <w:tab w:val="num" w:pos="1134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80620D">
        <w:rPr>
          <w:rFonts w:ascii="Calibri" w:hAnsi="Calibri" w:cs="Arial"/>
          <w:b/>
          <w:sz w:val="22"/>
          <w:szCs w:val="22"/>
          <w:u w:val="single"/>
        </w:rPr>
        <w:t>Events</w:t>
      </w:r>
      <w:r w:rsidR="004D21B9" w:rsidRPr="004D21B9">
        <w:rPr>
          <w:rFonts w:ascii="Calibri" w:hAnsi="Calibri" w:cs="Arial"/>
          <w:b/>
          <w:sz w:val="22"/>
          <w:szCs w:val="22"/>
        </w:rPr>
        <w:t xml:space="preserve"> </w:t>
      </w:r>
      <w:r w:rsidR="00D076EC">
        <w:rPr>
          <w:rFonts w:asciiTheme="minorHAnsi" w:hAnsiTheme="minorHAnsi" w:cstheme="minorHAnsi"/>
          <w:sz w:val="22"/>
          <w:szCs w:val="22"/>
        </w:rPr>
        <w:t>Each interest group holds an annual meeting</w:t>
      </w:r>
      <w:r w:rsidR="004D21B9">
        <w:rPr>
          <w:rFonts w:asciiTheme="minorHAnsi" w:hAnsiTheme="minorHAnsi" w:cstheme="minorHAnsi"/>
          <w:sz w:val="22"/>
          <w:szCs w:val="22"/>
        </w:rPr>
        <w:t xml:space="preserve"> or workshop</w:t>
      </w:r>
      <w:r w:rsidR="00D076EC">
        <w:rPr>
          <w:rFonts w:asciiTheme="minorHAnsi" w:hAnsiTheme="minorHAnsi" w:cstheme="minorHAnsi"/>
          <w:sz w:val="22"/>
          <w:szCs w:val="22"/>
        </w:rPr>
        <w:t xml:space="preserve"> to </w:t>
      </w:r>
      <w:r w:rsidR="004D21B9">
        <w:rPr>
          <w:rFonts w:asciiTheme="minorHAnsi" w:hAnsiTheme="minorHAnsi" w:cstheme="minorHAnsi"/>
          <w:sz w:val="22"/>
          <w:szCs w:val="22"/>
        </w:rPr>
        <w:t>discuss progress and new collaborations. An additional seven SPARK workshops, including external researchers,</w:t>
      </w:r>
      <w:r w:rsidR="004D21B9" w:rsidRPr="004D21B9">
        <w:rPr>
          <w:rFonts w:asciiTheme="minorHAnsi" w:hAnsiTheme="minorHAnsi" w:cstheme="minorHAnsi"/>
          <w:sz w:val="22"/>
          <w:szCs w:val="22"/>
        </w:rPr>
        <w:t xml:space="preserve"> </w:t>
      </w:r>
      <w:r w:rsidR="004D21B9">
        <w:rPr>
          <w:rFonts w:asciiTheme="minorHAnsi" w:hAnsiTheme="minorHAnsi" w:cstheme="minorHAnsi"/>
          <w:sz w:val="22"/>
          <w:szCs w:val="22"/>
        </w:rPr>
        <w:t xml:space="preserve">have been held over the past two years.  </w:t>
      </w:r>
      <w:r w:rsidR="00915315" w:rsidRPr="00F727D8">
        <w:rPr>
          <w:rFonts w:asciiTheme="minorHAnsi" w:hAnsiTheme="minorHAnsi" w:cstheme="minorHAnsi"/>
          <w:sz w:val="22"/>
          <w:szCs w:val="22"/>
        </w:rPr>
        <w:t xml:space="preserve">The IHR </w:t>
      </w:r>
      <w:r w:rsidR="00D33A91">
        <w:rPr>
          <w:rFonts w:asciiTheme="minorHAnsi" w:hAnsiTheme="minorHAnsi" w:cstheme="minorHAnsi"/>
          <w:sz w:val="22"/>
          <w:szCs w:val="22"/>
        </w:rPr>
        <w:t>C</w:t>
      </w:r>
      <w:r w:rsidR="00915315" w:rsidRPr="00F727D8">
        <w:rPr>
          <w:rFonts w:asciiTheme="minorHAnsi" w:hAnsiTheme="minorHAnsi" w:cstheme="minorHAnsi"/>
          <w:sz w:val="22"/>
          <w:szCs w:val="22"/>
        </w:rPr>
        <w:t>onference in May 201</w:t>
      </w:r>
      <w:r w:rsidR="004D21B9">
        <w:rPr>
          <w:rFonts w:asciiTheme="minorHAnsi" w:hAnsiTheme="minorHAnsi" w:cstheme="minorHAnsi"/>
          <w:sz w:val="22"/>
          <w:szCs w:val="22"/>
        </w:rPr>
        <w:t>8</w:t>
      </w:r>
      <w:r w:rsidR="00915315" w:rsidRPr="00F727D8">
        <w:rPr>
          <w:rFonts w:asciiTheme="minorHAnsi" w:hAnsiTheme="minorHAnsi" w:cstheme="minorHAnsi"/>
          <w:sz w:val="22"/>
          <w:szCs w:val="22"/>
        </w:rPr>
        <w:t xml:space="preserve">, with the theme of </w:t>
      </w:r>
      <w:r w:rsidR="00C04E17" w:rsidRPr="00F727D8">
        <w:rPr>
          <w:rFonts w:asciiTheme="minorHAnsi" w:hAnsiTheme="minorHAnsi" w:cstheme="minorHAnsi"/>
          <w:sz w:val="22"/>
          <w:szCs w:val="22"/>
        </w:rPr>
        <w:t>highlighting</w:t>
      </w:r>
      <w:r w:rsidR="00915315" w:rsidRPr="00F727D8">
        <w:rPr>
          <w:rFonts w:asciiTheme="minorHAnsi" w:hAnsiTheme="minorHAnsi" w:cstheme="minorHAnsi"/>
          <w:sz w:val="22"/>
          <w:szCs w:val="22"/>
        </w:rPr>
        <w:t xml:space="preserve"> health research and collaboration brought together over 130 academics, clinicians and healthcare professionals to listen to a diverse range of presentations invited guests and LJMU staff and students</w:t>
      </w:r>
      <w:r w:rsidR="005818AF">
        <w:rPr>
          <w:rFonts w:asciiTheme="minorHAnsi" w:hAnsiTheme="minorHAnsi" w:cstheme="minorHAnsi"/>
          <w:sz w:val="22"/>
          <w:szCs w:val="22"/>
        </w:rPr>
        <w:t xml:space="preserve"> (objective 6)</w:t>
      </w:r>
      <w:r w:rsidR="00915315" w:rsidRPr="00F727D8">
        <w:rPr>
          <w:rFonts w:asciiTheme="minorHAnsi" w:hAnsiTheme="minorHAnsi" w:cstheme="minorHAnsi"/>
          <w:sz w:val="22"/>
          <w:szCs w:val="22"/>
        </w:rPr>
        <w:t xml:space="preserve">. </w:t>
      </w:r>
      <w:r w:rsidR="00915315" w:rsidRPr="00F727D8">
        <w:rPr>
          <w:rFonts w:asciiTheme="minorHAnsi" w:hAnsiTheme="minorHAnsi" w:cstheme="minorHAnsi"/>
          <w:color w:val="000000"/>
          <w:sz w:val="22"/>
          <w:szCs w:val="22"/>
        </w:rPr>
        <w:t xml:space="preserve">During the 2017 LJMU </w:t>
      </w:r>
      <w:r w:rsidR="007431C1" w:rsidRPr="00F727D8">
        <w:rPr>
          <w:rFonts w:asciiTheme="minorHAnsi" w:hAnsiTheme="minorHAnsi" w:cstheme="minorHAnsi"/>
          <w:color w:val="000000"/>
          <w:sz w:val="22"/>
          <w:szCs w:val="22"/>
        </w:rPr>
        <w:t>Wellbeing week</w:t>
      </w:r>
      <w:r w:rsidR="00915315" w:rsidRPr="00F727D8">
        <w:rPr>
          <w:rFonts w:asciiTheme="minorHAnsi" w:hAnsiTheme="minorHAnsi" w:cstheme="minorHAnsi"/>
          <w:color w:val="000000"/>
          <w:sz w:val="22"/>
          <w:szCs w:val="22"/>
        </w:rPr>
        <w:t xml:space="preserve"> the IHR held a</w:t>
      </w:r>
      <w:r w:rsidR="00F727D8" w:rsidRPr="00F727D8">
        <w:rPr>
          <w:rFonts w:asciiTheme="minorHAnsi" w:hAnsiTheme="minorHAnsi" w:cstheme="minorHAnsi"/>
          <w:color w:val="000000"/>
          <w:sz w:val="22"/>
          <w:szCs w:val="22"/>
        </w:rPr>
        <w:t xml:space="preserve"> successful</w:t>
      </w:r>
      <w:r w:rsidR="00915315" w:rsidRPr="00F727D8">
        <w:rPr>
          <w:rFonts w:asciiTheme="minorHAnsi" w:hAnsiTheme="minorHAnsi" w:cstheme="minorHAnsi"/>
          <w:sz w:val="22"/>
          <w:szCs w:val="22"/>
        </w:rPr>
        <w:t xml:space="preserve"> interactive health and wellbeing session offering</w:t>
      </w:r>
      <w:r w:rsidR="00F727D8" w:rsidRPr="00F727D8">
        <w:rPr>
          <w:rFonts w:asciiTheme="minorHAnsi" w:hAnsiTheme="minorHAnsi" w:cstheme="minorHAnsi"/>
          <w:sz w:val="22"/>
          <w:szCs w:val="22"/>
        </w:rPr>
        <w:t xml:space="preserve"> staff and students</w:t>
      </w:r>
      <w:r w:rsidR="00915315" w:rsidRPr="00F727D8">
        <w:rPr>
          <w:rFonts w:asciiTheme="minorHAnsi" w:hAnsiTheme="minorHAnsi" w:cstheme="minorHAnsi"/>
          <w:sz w:val="22"/>
          <w:szCs w:val="22"/>
        </w:rPr>
        <w:t xml:space="preserve"> a free health check to determine </w:t>
      </w:r>
      <w:r w:rsidR="00C04E17">
        <w:rPr>
          <w:rFonts w:asciiTheme="minorHAnsi" w:hAnsiTheme="minorHAnsi" w:cstheme="minorHAnsi"/>
          <w:sz w:val="22"/>
          <w:szCs w:val="22"/>
        </w:rPr>
        <w:t>‘</w:t>
      </w:r>
      <w:r w:rsidR="00915315" w:rsidRPr="00F727D8">
        <w:rPr>
          <w:rFonts w:asciiTheme="minorHAnsi" w:hAnsiTheme="minorHAnsi" w:cstheme="minorHAnsi"/>
          <w:sz w:val="22"/>
          <w:szCs w:val="22"/>
        </w:rPr>
        <w:t>how healthy your heart is</w:t>
      </w:r>
      <w:r w:rsidR="00C04E17">
        <w:rPr>
          <w:rFonts w:asciiTheme="minorHAnsi" w:hAnsiTheme="minorHAnsi" w:cstheme="minorHAnsi"/>
          <w:sz w:val="22"/>
          <w:szCs w:val="22"/>
        </w:rPr>
        <w:t>’</w:t>
      </w:r>
      <w:r w:rsidR="00915315" w:rsidRPr="00F727D8">
        <w:rPr>
          <w:rFonts w:asciiTheme="minorHAnsi" w:hAnsiTheme="minorHAnsi" w:cstheme="minorHAnsi"/>
          <w:sz w:val="22"/>
          <w:szCs w:val="22"/>
        </w:rPr>
        <w:t xml:space="preserve"> and what </w:t>
      </w:r>
      <w:r w:rsidR="00C04E17">
        <w:rPr>
          <w:rFonts w:asciiTheme="minorHAnsi" w:hAnsiTheme="minorHAnsi" w:cstheme="minorHAnsi"/>
          <w:sz w:val="22"/>
          <w:szCs w:val="22"/>
        </w:rPr>
        <w:t>individuals</w:t>
      </w:r>
      <w:r w:rsidR="00915315" w:rsidRPr="00F727D8">
        <w:rPr>
          <w:rFonts w:asciiTheme="minorHAnsi" w:hAnsiTheme="minorHAnsi" w:cstheme="minorHAnsi"/>
          <w:sz w:val="22"/>
          <w:szCs w:val="22"/>
        </w:rPr>
        <w:t xml:space="preserve"> can then do to reduce future cardiovascular risk followed by a session of laughter therapy to reduce stres</w:t>
      </w:r>
      <w:r w:rsidR="00F727D8" w:rsidRPr="00F727D8">
        <w:rPr>
          <w:rFonts w:asciiTheme="minorHAnsi" w:hAnsiTheme="minorHAnsi" w:cstheme="minorHAnsi"/>
          <w:sz w:val="22"/>
          <w:szCs w:val="22"/>
        </w:rPr>
        <w:t>s</w:t>
      </w:r>
      <w:r w:rsidR="00915315" w:rsidRPr="00F727D8">
        <w:rPr>
          <w:rFonts w:asciiTheme="minorHAnsi" w:hAnsiTheme="minorHAnsi" w:cstheme="minorHAnsi"/>
          <w:sz w:val="22"/>
          <w:szCs w:val="22"/>
        </w:rPr>
        <w:t>.</w:t>
      </w:r>
      <w:r w:rsidR="00EC1288" w:rsidRPr="00EC1288">
        <w:rPr>
          <w:rFonts w:ascii="Calibri" w:hAnsi="Calibri" w:cs="Arial"/>
          <w:sz w:val="22"/>
          <w:szCs w:val="22"/>
        </w:rPr>
        <w:t xml:space="preserve"> </w:t>
      </w:r>
      <w:r w:rsidR="00EC1288" w:rsidRPr="000F6F25">
        <w:rPr>
          <w:rFonts w:ascii="Calibri" w:hAnsi="Calibri" w:cs="Arial"/>
          <w:sz w:val="22"/>
          <w:szCs w:val="22"/>
        </w:rPr>
        <w:t>The branding of health-related research within the IHR</w:t>
      </w:r>
      <w:r w:rsidR="00EC1288">
        <w:rPr>
          <w:rFonts w:ascii="Calibri" w:hAnsi="Calibri" w:cs="Arial"/>
          <w:sz w:val="22"/>
          <w:szCs w:val="22"/>
        </w:rPr>
        <w:t xml:space="preserve"> </w:t>
      </w:r>
      <w:r w:rsidR="00EC1288" w:rsidRPr="000F6F25">
        <w:rPr>
          <w:rFonts w:ascii="Calibri" w:hAnsi="Calibri" w:cs="Arial"/>
          <w:sz w:val="22"/>
          <w:szCs w:val="22"/>
        </w:rPr>
        <w:t>enable</w:t>
      </w:r>
      <w:r w:rsidR="00EC1288">
        <w:rPr>
          <w:rFonts w:ascii="Calibri" w:hAnsi="Calibri" w:cs="Arial"/>
          <w:sz w:val="22"/>
          <w:szCs w:val="22"/>
        </w:rPr>
        <w:t>s</w:t>
      </w:r>
      <w:r w:rsidR="00EC1288" w:rsidRPr="000F6F25">
        <w:rPr>
          <w:rFonts w:ascii="Calibri" w:hAnsi="Calibri" w:cs="Arial"/>
          <w:sz w:val="22"/>
          <w:szCs w:val="22"/>
        </w:rPr>
        <w:t xml:space="preserve"> a visible presence both within and external</w:t>
      </w:r>
      <w:r w:rsidR="00C04E17">
        <w:rPr>
          <w:rFonts w:ascii="Calibri" w:hAnsi="Calibri" w:cs="Arial"/>
          <w:sz w:val="22"/>
          <w:szCs w:val="22"/>
        </w:rPr>
        <w:t xml:space="preserve">ly </w:t>
      </w:r>
      <w:r w:rsidR="00EC1288" w:rsidRPr="000F6F25">
        <w:rPr>
          <w:rFonts w:ascii="Calibri" w:hAnsi="Calibri" w:cs="Arial"/>
          <w:sz w:val="22"/>
          <w:szCs w:val="22"/>
        </w:rPr>
        <w:t>to LJMU</w:t>
      </w:r>
      <w:r w:rsidR="00EC1288">
        <w:rPr>
          <w:rFonts w:ascii="Calibri" w:hAnsi="Calibri" w:cs="Arial"/>
          <w:sz w:val="22"/>
          <w:szCs w:val="22"/>
        </w:rPr>
        <w:t xml:space="preserve">. </w:t>
      </w:r>
      <w:r w:rsidR="00EC1288" w:rsidRPr="00AD12A4">
        <w:rPr>
          <w:rFonts w:ascii="Calibri" w:hAnsi="Calibri" w:cs="Arial"/>
          <w:sz w:val="22"/>
          <w:szCs w:val="22"/>
        </w:rPr>
        <w:t xml:space="preserve">For </w:t>
      </w:r>
      <w:r w:rsidR="009418AF" w:rsidRPr="00AD12A4">
        <w:rPr>
          <w:rFonts w:ascii="Calibri" w:hAnsi="Calibri" w:cs="Arial"/>
          <w:sz w:val="22"/>
          <w:szCs w:val="22"/>
        </w:rPr>
        <w:t>example,</w:t>
      </w:r>
      <w:r w:rsidR="00AD12A4" w:rsidRPr="00AD12A4">
        <w:rPr>
          <w:rFonts w:ascii="Calibri" w:hAnsi="Calibri" w:cs="Arial"/>
          <w:sz w:val="22"/>
          <w:szCs w:val="22"/>
        </w:rPr>
        <w:t xml:space="preserve"> by using IHR pull up banners at our internal and external health events and </w:t>
      </w:r>
      <w:r w:rsidR="00AD12A4">
        <w:rPr>
          <w:rFonts w:ascii="Calibri" w:hAnsi="Calibri" w:cs="Arial"/>
          <w:sz w:val="22"/>
          <w:szCs w:val="22"/>
        </w:rPr>
        <w:t>encouraging researchers to use the logo on abstracts, posters slides etc.</w:t>
      </w:r>
    </w:p>
    <w:p w14:paraId="5A975484" w14:textId="7A0E0F8A" w:rsidR="003B5563" w:rsidRPr="004D21B9" w:rsidRDefault="00752944" w:rsidP="004D21B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556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Funding</w:t>
      </w:r>
      <w:r w:rsidR="004D21B9" w:rsidRPr="004D21B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752944">
        <w:rPr>
          <w:rFonts w:asciiTheme="minorHAnsi" w:hAnsiTheme="minorHAnsi" w:cstheme="minorHAnsi"/>
          <w:color w:val="000000"/>
          <w:sz w:val="22"/>
          <w:szCs w:val="22"/>
        </w:rPr>
        <w:t>As a virtual</w:t>
      </w:r>
      <w:r w:rsidR="009A29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2944">
        <w:rPr>
          <w:rFonts w:asciiTheme="minorHAnsi" w:hAnsiTheme="minorHAnsi" w:cstheme="minorHAnsi"/>
          <w:color w:val="000000"/>
          <w:sz w:val="22"/>
          <w:szCs w:val="22"/>
        </w:rPr>
        <w:t xml:space="preserve">institute, the IHR relies on individual </w:t>
      </w:r>
      <w:r w:rsidR="009A293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752944">
        <w:rPr>
          <w:rFonts w:asciiTheme="minorHAnsi" w:hAnsiTheme="minorHAnsi" w:cstheme="minorHAnsi"/>
          <w:color w:val="000000"/>
          <w:sz w:val="22"/>
          <w:szCs w:val="22"/>
        </w:rPr>
        <w:t xml:space="preserve">chools and Faculties to provide staff support and management and research facilities and infrastructure. This means it is difficult to secure data on submitted and successful </w:t>
      </w:r>
      <w:r w:rsidRPr="00752944">
        <w:rPr>
          <w:rFonts w:ascii="Calibri" w:hAnsi="Calibri"/>
          <w:sz w:val="22"/>
          <w:szCs w:val="22"/>
        </w:rPr>
        <w:t>collaborative funding applications (internal and external) and even more difficult to attribute them directly to IHR activity.</w:t>
      </w:r>
      <w:r w:rsidR="0047568F">
        <w:rPr>
          <w:rFonts w:ascii="Calibri" w:hAnsi="Calibri"/>
          <w:sz w:val="22"/>
          <w:szCs w:val="22"/>
        </w:rPr>
        <w:t xml:space="preserve"> A feature within the new electronic grant system will enable researchers to link their funding proposals to the IHR in addition to a school or other research Institute. This should make it easier to obtain more accurate data in the future. </w:t>
      </w:r>
      <w:r w:rsidR="00C512CD">
        <w:rPr>
          <w:rFonts w:ascii="Calibri" w:hAnsi="Calibri"/>
          <w:sz w:val="22"/>
          <w:szCs w:val="22"/>
        </w:rPr>
        <w:t>A quick review of s</w:t>
      </w:r>
      <w:r w:rsidR="0047568F">
        <w:rPr>
          <w:rFonts w:ascii="Calibri" w:hAnsi="Calibri"/>
          <w:sz w:val="22"/>
          <w:szCs w:val="22"/>
        </w:rPr>
        <w:t>uccessful</w:t>
      </w:r>
      <w:r w:rsidR="004F5E51">
        <w:rPr>
          <w:rFonts w:ascii="Calibri" w:hAnsi="Calibri"/>
          <w:sz w:val="22"/>
          <w:szCs w:val="22"/>
        </w:rPr>
        <w:t xml:space="preserve"> </w:t>
      </w:r>
      <w:r w:rsidR="00C512CD">
        <w:rPr>
          <w:rFonts w:ascii="Calibri" w:hAnsi="Calibri"/>
          <w:sz w:val="22"/>
          <w:szCs w:val="22"/>
        </w:rPr>
        <w:t xml:space="preserve">LJMU </w:t>
      </w:r>
      <w:r w:rsidR="0047568F">
        <w:rPr>
          <w:rFonts w:ascii="Calibri" w:hAnsi="Calibri"/>
          <w:sz w:val="22"/>
          <w:szCs w:val="22"/>
        </w:rPr>
        <w:t xml:space="preserve">funding bids </w:t>
      </w:r>
      <w:r w:rsidR="00C512CD">
        <w:rPr>
          <w:rFonts w:ascii="Calibri" w:hAnsi="Calibri"/>
          <w:sz w:val="22"/>
          <w:szCs w:val="22"/>
        </w:rPr>
        <w:t>show</w:t>
      </w:r>
      <w:r w:rsidR="00D20FB0">
        <w:rPr>
          <w:rFonts w:ascii="Calibri" w:hAnsi="Calibri"/>
          <w:sz w:val="22"/>
          <w:szCs w:val="22"/>
        </w:rPr>
        <w:t xml:space="preserve">ed </w:t>
      </w:r>
      <w:r w:rsidR="00C512CD">
        <w:rPr>
          <w:rFonts w:ascii="Calibri" w:hAnsi="Calibri"/>
          <w:sz w:val="22"/>
          <w:szCs w:val="22"/>
        </w:rPr>
        <w:t xml:space="preserve">that health and health related bids typically account for </w:t>
      </w:r>
      <w:r w:rsidR="0047568F">
        <w:rPr>
          <w:rFonts w:ascii="Calibri" w:hAnsi="Calibri"/>
          <w:sz w:val="22"/>
          <w:szCs w:val="22"/>
        </w:rPr>
        <w:t xml:space="preserve">around </w:t>
      </w:r>
      <w:r w:rsidR="00B7461D">
        <w:rPr>
          <w:rFonts w:ascii="Calibri" w:hAnsi="Calibri"/>
          <w:sz w:val="22"/>
          <w:szCs w:val="22"/>
        </w:rPr>
        <w:t>25%</w:t>
      </w:r>
      <w:r w:rsidR="0047568F">
        <w:rPr>
          <w:rFonts w:ascii="Calibri" w:hAnsi="Calibri"/>
          <w:sz w:val="22"/>
          <w:szCs w:val="22"/>
        </w:rPr>
        <w:t xml:space="preserve"> of total </w:t>
      </w:r>
      <w:r w:rsidR="00B7461D">
        <w:rPr>
          <w:rFonts w:ascii="Calibri" w:hAnsi="Calibri"/>
          <w:sz w:val="22"/>
          <w:szCs w:val="22"/>
        </w:rPr>
        <w:t xml:space="preserve">competitive research </w:t>
      </w:r>
      <w:r w:rsidR="0047568F">
        <w:rPr>
          <w:rFonts w:ascii="Calibri" w:hAnsi="Calibri"/>
          <w:sz w:val="22"/>
          <w:szCs w:val="22"/>
        </w:rPr>
        <w:t>funding</w:t>
      </w:r>
      <w:r w:rsidR="00B7461D">
        <w:rPr>
          <w:rFonts w:ascii="Calibri" w:hAnsi="Calibri"/>
          <w:sz w:val="22"/>
          <w:szCs w:val="22"/>
        </w:rPr>
        <w:t xml:space="preserve">. </w:t>
      </w:r>
      <w:r w:rsidR="00C512CD">
        <w:rPr>
          <w:rFonts w:ascii="Calibri" w:hAnsi="Calibri"/>
          <w:sz w:val="22"/>
          <w:szCs w:val="22"/>
        </w:rPr>
        <w:t>Some indicative examples of successful bids (2016- 2018) that demonstrate cross School/Faculty working and/or working with external health providers are below.</w:t>
      </w:r>
    </w:p>
    <w:p w14:paraId="605AE0CF" w14:textId="5C4B2EAA" w:rsidR="00D64D20" w:rsidRPr="00D64D20" w:rsidRDefault="003E6A0B" w:rsidP="00D64D20">
      <w:pPr>
        <w:pStyle w:val="ListParagraph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The </w:t>
      </w:r>
      <w:r w:rsid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Liverpool </w:t>
      </w:r>
      <w:r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CCG funded </w:t>
      </w:r>
      <w:r w:rsidR="00D64D20" w:rsidRPr="00D64D20">
        <w:rPr>
          <w:rFonts w:asciiTheme="minorHAnsi" w:hAnsiTheme="minorHAnsi" w:cstheme="minorHAnsi"/>
          <w:b w:val="0"/>
          <w:color w:val="000000" w:themeColor="text1"/>
        </w:rPr>
        <w:t xml:space="preserve">a project </w:t>
      </w:r>
      <w:r w:rsidR="00C04E17" w:rsidRPr="00D64D20">
        <w:rPr>
          <w:rFonts w:asciiTheme="minorHAnsi" w:hAnsiTheme="minorHAnsi" w:cstheme="minorHAnsi"/>
          <w:b w:val="0"/>
          <w:color w:val="000000" w:themeColor="text1"/>
        </w:rPr>
        <w:t>to c</w:t>
      </w:r>
      <w:r w:rsidRPr="00D64D20">
        <w:rPr>
          <w:rFonts w:asciiTheme="minorHAnsi" w:hAnsiTheme="minorHAnsi" w:cstheme="minorHAnsi"/>
          <w:b w:val="0"/>
          <w:color w:val="000000" w:themeColor="text1"/>
        </w:rPr>
        <w:t xml:space="preserve">o-create </w:t>
      </w:r>
      <w:r w:rsidR="00D64D20" w:rsidRPr="00D64D20">
        <w:rPr>
          <w:rFonts w:asciiTheme="minorHAnsi" w:hAnsiTheme="minorHAnsi" w:cstheme="minorHAnsi"/>
          <w:b w:val="0"/>
          <w:color w:val="000000" w:themeColor="text1"/>
        </w:rPr>
        <w:t>a</w:t>
      </w:r>
      <w:r w:rsidRPr="00D64D20">
        <w:rPr>
          <w:rFonts w:asciiTheme="minorHAnsi" w:hAnsiTheme="minorHAnsi" w:cstheme="minorHAnsi"/>
          <w:b w:val="0"/>
          <w:color w:val="000000" w:themeColor="text1"/>
        </w:rPr>
        <w:t xml:space="preserve"> sternal wound support device to reduce sternal wound infections in women post cardiac surgery</w:t>
      </w:r>
      <w:r w:rsidR="00D22869">
        <w:rPr>
          <w:rFonts w:asciiTheme="minorHAnsi" w:hAnsiTheme="minorHAnsi" w:cstheme="minorHAnsi"/>
          <w:b w:val="0"/>
          <w:color w:val="000000" w:themeColor="text1"/>
        </w:rPr>
        <w:t>.</w:t>
      </w:r>
    </w:p>
    <w:p w14:paraId="57630A76" w14:textId="6678DCB8" w:rsidR="00844176" w:rsidRPr="00D64D20" w:rsidRDefault="00346E60" w:rsidP="00D64D20">
      <w:pPr>
        <w:pStyle w:val="ListParagraph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D64D20">
        <w:rPr>
          <w:rFonts w:asciiTheme="minorHAnsi" w:hAnsiTheme="minorHAnsi" w:cstheme="minorHAnsi"/>
          <w:b w:val="0"/>
          <w:color w:val="000000"/>
        </w:rPr>
        <w:t>A collaboration with the PMRU at Alder He</w:t>
      </w:r>
      <w:r w:rsidR="00D33A91">
        <w:rPr>
          <w:rFonts w:asciiTheme="minorHAnsi" w:hAnsiTheme="minorHAnsi" w:cstheme="minorHAnsi"/>
          <w:b w:val="0"/>
          <w:color w:val="000000"/>
        </w:rPr>
        <w:t>y</w:t>
      </w:r>
      <w:r w:rsidRPr="00D64D20">
        <w:rPr>
          <w:rFonts w:asciiTheme="minorHAnsi" w:hAnsiTheme="minorHAnsi" w:cstheme="minorHAnsi"/>
          <w:b w:val="0"/>
          <w:color w:val="000000"/>
        </w:rPr>
        <w:t xml:space="preserve"> </w:t>
      </w:r>
      <w:r w:rsidRPr="00D64D20">
        <w:rPr>
          <w:rFonts w:asciiTheme="minorHAnsi" w:hAnsiTheme="minorHAnsi" w:cstheme="minorHAnsi"/>
          <w:b w:val="0"/>
          <w:color w:val="000000"/>
          <w:lang w:eastAsia="en-US"/>
        </w:rPr>
        <w:t>resulted in a successful NIHR Efficacy and Mechanism Evaluation Programme fund for a study on ‘The efficacy and mechanism of surfactant therapy for critically ill infants with</w:t>
      </w:r>
      <w:r w:rsidR="00D64D20" w:rsidRPr="00D64D20">
        <w:rPr>
          <w:rFonts w:asciiTheme="minorHAnsi" w:hAnsiTheme="minorHAnsi" w:cstheme="minorHAnsi"/>
          <w:b w:val="0"/>
          <w:color w:val="000000"/>
          <w:lang w:eastAsia="en-US"/>
        </w:rPr>
        <w:t xml:space="preserve"> </w:t>
      </w:r>
      <w:r w:rsidRPr="00D64D20">
        <w:rPr>
          <w:rFonts w:asciiTheme="minorHAnsi" w:hAnsiTheme="minorHAnsi" w:cstheme="minorHAnsi"/>
          <w:b w:val="0"/>
          <w:color w:val="000000"/>
          <w:lang w:eastAsia="en-US"/>
        </w:rPr>
        <w:t>bronchiolitis: the Bronchiolitis Endo</w:t>
      </w:r>
      <w:r w:rsidR="003C3812">
        <w:rPr>
          <w:rFonts w:asciiTheme="minorHAnsi" w:hAnsiTheme="minorHAnsi" w:cstheme="minorHAnsi"/>
          <w:b w:val="0"/>
          <w:color w:val="000000"/>
          <w:lang w:eastAsia="en-US"/>
        </w:rPr>
        <w:t>tracheal Surfactant Study</w:t>
      </w:r>
      <w:r w:rsidRPr="00D64D20">
        <w:rPr>
          <w:rFonts w:asciiTheme="minorHAnsi" w:hAnsiTheme="minorHAnsi" w:cstheme="minorHAnsi"/>
          <w:b w:val="0"/>
          <w:color w:val="000000"/>
          <w:lang w:eastAsia="en-US"/>
        </w:rPr>
        <w:t xml:space="preserve">. ( </w:t>
      </w:r>
    </w:p>
    <w:p w14:paraId="0D063D7B" w14:textId="45B86C2A" w:rsidR="00B8055B" w:rsidRPr="001561FB" w:rsidRDefault="00D64D20" w:rsidP="001561FB">
      <w:pPr>
        <w:pStyle w:val="ListParagraph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The IPEDS group </w:t>
      </w:r>
      <w:r w:rsidR="00D20FB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(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received funding from Public </w:t>
      </w:r>
      <w:r w:rsidR="00C04E1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H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ealth </w:t>
      </w:r>
      <w:r w:rsidR="00C04E1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al</w:t>
      </w:r>
      <w:r w:rsidR="00B8055B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es 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to investigate SIEDS use in Wales.</w:t>
      </w:r>
    </w:p>
    <w:p w14:paraId="45E73792" w14:textId="4F1A619F" w:rsidR="00844176" w:rsidRPr="00D64D20" w:rsidRDefault="004F5E51" w:rsidP="00D64D20">
      <w:pPr>
        <w:pStyle w:val="ListParagraph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color w:val="000000" w:themeColor="text1"/>
          <w:lang w:eastAsia="en-US"/>
        </w:rPr>
      </w:pPr>
      <w:r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Working with Nature Connected and the LCR, </w:t>
      </w:r>
      <w:r w:rsidR="00844176"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>Colm Bowe</w:t>
      </w:r>
      <w:r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 (NSP) was awarded </w:t>
      </w:r>
      <w:r w:rsidR="00C04E17"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>a NERC</w:t>
      </w:r>
      <w:r w:rsidR="00844176"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 Innovation Grant </w:t>
      </w:r>
      <w:r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to work with LRC and stakeholders groups including the health sector.  </w:t>
      </w:r>
    </w:p>
    <w:p w14:paraId="3416FE92" w14:textId="15FE95EC" w:rsidR="003B5563" w:rsidRPr="00D64D20" w:rsidRDefault="00C512CD" w:rsidP="00D64D20">
      <w:pPr>
        <w:pStyle w:val="ListParagraph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iCs/>
          <w:color w:val="000000" w:themeColor="text1"/>
          <w:lang w:eastAsia="en-US"/>
        </w:rPr>
      </w:pPr>
      <w:r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The </w:t>
      </w:r>
      <w:r w:rsidRPr="00D64D20">
        <w:rPr>
          <w:rFonts w:asciiTheme="minorHAnsi" w:hAnsiTheme="minorHAnsi" w:cstheme="minorHAnsi"/>
          <w:b w:val="0"/>
          <w:color w:val="000000"/>
          <w:lang w:eastAsia="en-US"/>
        </w:rPr>
        <w:t xml:space="preserve">Liverpool </w:t>
      </w:r>
      <w:r w:rsidR="003B5563" w:rsidRPr="00D64D20">
        <w:rPr>
          <w:rFonts w:asciiTheme="minorHAnsi" w:hAnsiTheme="minorHAnsi" w:cstheme="minorHAnsi"/>
          <w:b w:val="0"/>
          <w:color w:val="000000"/>
          <w:lang w:eastAsia="en-US"/>
        </w:rPr>
        <w:t>Clinical Commissioning Group</w:t>
      </w:r>
      <w:r w:rsidRPr="00D64D20">
        <w:rPr>
          <w:rFonts w:asciiTheme="minorHAnsi" w:hAnsiTheme="minorHAnsi" w:cstheme="minorHAnsi"/>
          <w:b w:val="0"/>
          <w:color w:val="000000"/>
          <w:lang w:eastAsia="en-US"/>
        </w:rPr>
        <w:t xml:space="preserve"> (CCG) funded two Research Capability Funding (RCF) projects in 2016; </w:t>
      </w:r>
      <w:r w:rsidR="003B5563" w:rsidRPr="00D64D20">
        <w:rPr>
          <w:rFonts w:asciiTheme="minorHAnsi" w:hAnsiTheme="minorHAnsi" w:cstheme="minorHAnsi"/>
          <w:b w:val="0"/>
          <w:color w:val="000000"/>
          <w:lang w:eastAsia="en-US"/>
        </w:rPr>
        <w:t xml:space="preserve"> </w:t>
      </w:r>
      <w:r w:rsidRPr="00D64D20">
        <w:rPr>
          <w:rFonts w:asciiTheme="minorHAnsi" w:hAnsiTheme="minorHAnsi" w:cstheme="minorHAnsi"/>
          <w:b w:val="0"/>
          <w:color w:val="000000"/>
          <w:lang w:eastAsia="en-US"/>
        </w:rPr>
        <w:t>A</w:t>
      </w:r>
      <w:r w:rsidR="003B5563" w:rsidRPr="00D64D20">
        <w:rPr>
          <w:rFonts w:asciiTheme="minorHAnsi" w:hAnsiTheme="minorHAnsi" w:cstheme="minorHAnsi"/>
          <w:b w:val="0"/>
          <w:color w:val="000000"/>
          <w:lang w:eastAsia="en-US"/>
        </w:rPr>
        <w:t xml:space="preserve"> Patient &amp; public Involvement study regarding weight management services for pregnant women with obesity</w:t>
      </w:r>
      <w:r w:rsidRPr="00D64D20">
        <w:rPr>
          <w:rFonts w:asciiTheme="minorHAnsi" w:hAnsiTheme="minorHAnsi" w:cstheme="minorHAnsi"/>
          <w:b w:val="0"/>
          <w:color w:val="000000"/>
          <w:lang w:eastAsia="en-US"/>
        </w:rPr>
        <w:t xml:space="preserve"> a</w:t>
      </w:r>
      <w:r w:rsidRPr="00D64D20">
        <w:rPr>
          <w:rFonts w:asciiTheme="minorHAnsi" w:hAnsiTheme="minorHAnsi" w:cstheme="minorHAnsi"/>
          <w:b w:val="0"/>
          <w:bCs/>
          <w:color w:val="000000"/>
          <w:shd w:val="clear" w:color="auto" w:fill="FFFFFF"/>
        </w:rPr>
        <w:t>nd a project entitled ‘</w:t>
      </w:r>
      <w:r w:rsidR="004F5551" w:rsidRPr="00D64D20">
        <w:rPr>
          <w:rFonts w:asciiTheme="minorHAnsi" w:hAnsiTheme="minorHAnsi" w:cstheme="minorHAnsi"/>
          <w:b w:val="0"/>
          <w:color w:val="000000"/>
          <w:lang w:val="en-US"/>
        </w:rPr>
        <w:t>Can exercise training reduce the frequency and severity of hot flushes associated with breast cancer treatment?</w:t>
      </w:r>
      <w:r w:rsidRPr="00D64D20">
        <w:rPr>
          <w:rFonts w:asciiTheme="minorHAnsi" w:hAnsiTheme="minorHAnsi" w:cstheme="minorHAnsi"/>
          <w:b w:val="0"/>
          <w:color w:val="000000"/>
          <w:lang w:val="en-US"/>
        </w:rPr>
        <w:t>’ (</w:t>
      </w:r>
      <w:r w:rsidRPr="00D64D20">
        <w:rPr>
          <w:rFonts w:asciiTheme="minorHAnsi" w:hAnsiTheme="minorHAnsi" w:cstheme="minorHAnsi"/>
          <w:b w:val="0"/>
          <w:color w:val="000000" w:themeColor="text1"/>
          <w:lang w:val="en-US"/>
        </w:rPr>
        <w:t>The outcome of a 2018 bid for ‘</w:t>
      </w:r>
      <w:r w:rsidR="00C04E17" w:rsidRPr="00D64D20">
        <w:rPr>
          <w:rFonts w:asciiTheme="minorHAnsi" w:hAnsiTheme="minorHAnsi" w:cstheme="minorHAnsi"/>
          <w:b w:val="0"/>
          <w:iCs/>
          <w:color w:val="000000" w:themeColor="text1"/>
          <w:lang w:eastAsia="en-US"/>
        </w:rPr>
        <w:t>before</w:t>
      </w:r>
      <w:r w:rsidRPr="00D64D20">
        <w:rPr>
          <w:rFonts w:asciiTheme="minorHAnsi" w:hAnsiTheme="minorHAnsi" w:cstheme="minorHAnsi"/>
          <w:b w:val="0"/>
          <w:iCs/>
          <w:color w:val="000000" w:themeColor="text1"/>
          <w:lang w:eastAsia="en-US"/>
        </w:rPr>
        <w:t xml:space="preserve"> and after exercise referral: General Practitioner perspectives and 6-month patient outcomes.’ is still unknown</w:t>
      </w:r>
      <w:r w:rsidR="00D22869">
        <w:rPr>
          <w:rFonts w:asciiTheme="minorHAnsi" w:hAnsiTheme="minorHAnsi" w:cstheme="minorHAnsi"/>
          <w:b w:val="0"/>
          <w:iCs/>
          <w:color w:val="000000" w:themeColor="text1"/>
          <w:lang w:eastAsia="en-US"/>
        </w:rPr>
        <w:t>).</w:t>
      </w:r>
      <w:r w:rsidRPr="00D64D20">
        <w:rPr>
          <w:rFonts w:asciiTheme="minorHAnsi" w:hAnsiTheme="minorHAnsi" w:cstheme="minorHAnsi"/>
          <w:b w:val="0"/>
          <w:iCs/>
          <w:color w:val="000000" w:themeColor="text1"/>
          <w:lang w:eastAsia="en-US"/>
        </w:rPr>
        <w:t xml:space="preserve"> </w:t>
      </w:r>
      <w:r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There is plans for the CCG to give a presentation on </w:t>
      </w:r>
      <w:r w:rsidR="00C04E17"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>RCF to</w:t>
      </w:r>
      <w:r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 IHR members in 2019 to demonstrate its relevance to potential NIHR bids.</w:t>
      </w:r>
    </w:p>
    <w:p w14:paraId="66866F5A" w14:textId="7458D9E5" w:rsidR="00346E60" w:rsidRPr="00D64D20" w:rsidRDefault="00346E60" w:rsidP="00D64D20">
      <w:pPr>
        <w:pStyle w:val="ListParagraph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color w:val="000000" w:themeColor="text1"/>
          <w:lang w:eastAsia="en-US"/>
        </w:rPr>
      </w:pPr>
      <w:r w:rsidRPr="00D64D20">
        <w:rPr>
          <w:rFonts w:asciiTheme="minorHAnsi" w:hAnsiTheme="minorHAnsi" w:cstheme="minorHAnsi"/>
          <w:b w:val="0"/>
          <w:color w:val="000000" w:themeColor="text1"/>
        </w:rPr>
        <w:t xml:space="preserve">International health research funding has also increased, </w:t>
      </w:r>
      <w:r w:rsidR="003C3812">
        <w:rPr>
          <w:rFonts w:asciiTheme="minorHAnsi" w:hAnsiTheme="minorHAnsi" w:cstheme="minorHAnsi"/>
          <w:b w:val="0"/>
          <w:color w:val="000000" w:themeColor="text1"/>
        </w:rPr>
        <w:t xml:space="preserve">with, for example, </w:t>
      </w:r>
      <w:r w:rsidRPr="00D64D20">
        <w:rPr>
          <w:rFonts w:asciiTheme="minorHAnsi" w:hAnsiTheme="minorHAnsi" w:cstheme="minorHAnsi"/>
          <w:b w:val="0"/>
          <w:color w:val="000000" w:themeColor="text1"/>
        </w:rPr>
        <w:t xml:space="preserve">a &gt; </w:t>
      </w:r>
      <w:r w:rsidRPr="00D64D20">
        <w:rPr>
          <w:rFonts w:asciiTheme="minorHAnsi" w:hAnsiTheme="minorHAnsi" w:cstheme="minorHAnsi"/>
          <w:b w:val="0"/>
          <w:bCs/>
          <w:color w:val="000000" w:themeColor="text1"/>
          <w:lang w:eastAsia="en-US"/>
        </w:rPr>
        <w:t>€</w:t>
      </w:r>
      <w:r w:rsidRPr="00D64D20">
        <w:rPr>
          <w:rFonts w:asciiTheme="minorHAnsi" w:hAnsiTheme="minorHAnsi" w:cstheme="minorHAnsi"/>
          <w:b w:val="0"/>
          <w:color w:val="000000" w:themeColor="text1"/>
        </w:rPr>
        <w:t>4M collaborative bid  on ‘</w:t>
      </w:r>
      <w:r w:rsidRPr="00D64D20">
        <w:rPr>
          <w:rFonts w:asciiTheme="minorHAnsi" w:hAnsiTheme="minorHAnsi" w:cstheme="minorHAnsi"/>
          <w:b w:val="0"/>
          <w:iCs/>
          <w:color w:val="000000" w:themeColor="text1"/>
          <w:lang w:eastAsia="en-US"/>
        </w:rPr>
        <w:t xml:space="preserve">Integrating and decentralising diabetes and hypertension services in Africa’ </w:t>
      </w:r>
      <w:r w:rsidRPr="00D64D20">
        <w:rPr>
          <w:rFonts w:asciiTheme="minorHAnsi" w:hAnsiTheme="minorHAnsi" w:cstheme="minorHAnsi"/>
          <w:b w:val="0"/>
          <w:color w:val="000000" w:themeColor="text1"/>
        </w:rPr>
        <w:t xml:space="preserve">with LSTM </w:t>
      </w:r>
      <w:r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and </w:t>
      </w:r>
      <w:r w:rsidRPr="00D64D20">
        <w:rPr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>a British Academy award to generate evidence on ‘</w:t>
      </w:r>
      <w:r w:rsidRPr="00D64D20">
        <w:rPr>
          <w:rFonts w:asciiTheme="minorHAnsi" w:hAnsiTheme="minorHAnsi" w:cstheme="minorHAnsi"/>
          <w:b w:val="0"/>
          <w:iCs/>
          <w:color w:val="000000" w:themeColor="text1"/>
          <w:bdr w:val="none" w:sz="0" w:space="0" w:color="auto" w:frame="1"/>
          <w:lang w:eastAsia="en-US"/>
        </w:rPr>
        <w:t>Dignity Without Danger: Collaboratively Analysing Stigma and Taboos to Develop Innovative Strategies to Address Menstrual Exclusion in Nepal’</w:t>
      </w:r>
      <w:r w:rsidR="00D22869">
        <w:rPr>
          <w:rFonts w:asciiTheme="minorHAnsi" w:hAnsiTheme="minorHAnsi" w:cstheme="minorHAnsi"/>
          <w:b w:val="0"/>
          <w:iCs/>
          <w:color w:val="000000" w:themeColor="text1"/>
          <w:bdr w:val="none" w:sz="0" w:space="0" w:color="auto" w:frame="1"/>
          <w:lang w:eastAsia="en-US"/>
        </w:rPr>
        <w:t>.</w:t>
      </w:r>
    </w:p>
    <w:p w14:paraId="21E8242E" w14:textId="113F7F91" w:rsidR="004F5551" w:rsidRPr="00D64D20" w:rsidRDefault="003B5563" w:rsidP="00D64D20">
      <w:pPr>
        <w:pStyle w:val="ListParagraph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en-US"/>
        </w:rPr>
      </w:pPr>
      <w:r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>Cross Faculty</w:t>
      </w:r>
      <w:r w:rsidR="00C512CD"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 collaboration between </w:t>
      </w:r>
      <w:r w:rsidR="00C04E17"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PHI </w:t>
      </w:r>
      <w:r w:rsidR="00C512CD"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and RISES </w:t>
      </w:r>
      <w:bookmarkStart w:id="0" w:name="_GoBack"/>
      <w:bookmarkEnd w:id="0"/>
      <w:r w:rsidR="00C512CD"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provided the </w:t>
      </w:r>
      <w:r w:rsidR="00844176"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expertise required for </w:t>
      </w:r>
      <w:r w:rsidR="00C04E17"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>a Society</w:t>
      </w:r>
      <w:r w:rsidR="00C512CD"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 for the Study of Addiction (SSA) funded </w:t>
      </w:r>
      <w:r w:rsidR="00844176"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PhD </w:t>
      </w:r>
      <w:r w:rsidR="00C04E17"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>studentship on</w:t>
      </w:r>
      <w:r w:rsidR="00C512CD"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 </w:t>
      </w:r>
      <w:r w:rsidR="00844176"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>‘</w:t>
      </w:r>
      <w:r w:rsidRPr="00D64D20">
        <w:rPr>
          <w:rFonts w:asciiTheme="minorHAnsi" w:hAnsiTheme="minorHAnsi" w:cstheme="minorHAnsi"/>
          <w:b w:val="0"/>
          <w:color w:val="000000" w:themeColor="text1"/>
          <w:lang w:eastAsia="en-US"/>
        </w:rPr>
        <w:t xml:space="preserve">Psychosocial interventions for smoking cessation in substance misuse treatment services’. </w:t>
      </w:r>
    </w:p>
    <w:p w14:paraId="1492A762" w14:textId="3BD815E1" w:rsidR="00D33C4F" w:rsidRDefault="0047568F" w:rsidP="00C1374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C74D4">
        <w:rPr>
          <w:rFonts w:asciiTheme="minorHAnsi" w:hAnsiTheme="minorHAnsi" w:cstheme="minorHAnsi"/>
          <w:b/>
          <w:sz w:val="22"/>
          <w:szCs w:val="22"/>
          <w:u w:val="single"/>
        </w:rPr>
        <w:t>Outputs</w:t>
      </w:r>
      <w:r w:rsidR="001163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4F42" w:rsidRPr="001163AD">
        <w:rPr>
          <w:rFonts w:asciiTheme="minorHAnsi" w:hAnsiTheme="minorHAnsi" w:cstheme="minorHAnsi"/>
          <w:sz w:val="22"/>
          <w:szCs w:val="22"/>
        </w:rPr>
        <w:t>It</w:t>
      </w:r>
      <w:r w:rsidR="00B34F42" w:rsidRPr="000E3FC1">
        <w:rPr>
          <w:rFonts w:asciiTheme="minorHAnsi" w:hAnsiTheme="minorHAnsi" w:cstheme="minorHAnsi"/>
          <w:sz w:val="22"/>
          <w:szCs w:val="22"/>
        </w:rPr>
        <w:t xml:space="preserve"> has proved difficult to assign outputs as directly evolving from IHR </w:t>
      </w:r>
      <w:r w:rsidR="004D21B9">
        <w:rPr>
          <w:rFonts w:asciiTheme="minorHAnsi" w:hAnsiTheme="minorHAnsi" w:cstheme="minorHAnsi"/>
          <w:sz w:val="22"/>
          <w:szCs w:val="22"/>
        </w:rPr>
        <w:t>a</w:t>
      </w:r>
      <w:r w:rsidR="00B34F42" w:rsidRPr="000E3FC1">
        <w:rPr>
          <w:rFonts w:asciiTheme="minorHAnsi" w:hAnsiTheme="minorHAnsi" w:cstheme="minorHAnsi"/>
          <w:sz w:val="22"/>
          <w:szCs w:val="22"/>
        </w:rPr>
        <w:t xml:space="preserve">ctivities and relationships. Especially as authors tend not to provide multiple affiliations. </w:t>
      </w:r>
      <w:r w:rsidR="00173F32">
        <w:rPr>
          <w:rFonts w:asciiTheme="minorHAnsi" w:hAnsiTheme="minorHAnsi" w:cstheme="minorHAnsi"/>
          <w:sz w:val="22"/>
          <w:szCs w:val="22"/>
        </w:rPr>
        <w:t>Appendix 1 includes</w:t>
      </w:r>
      <w:r w:rsidR="00B34F42" w:rsidRPr="000E3FC1">
        <w:rPr>
          <w:rFonts w:asciiTheme="minorHAnsi" w:hAnsiTheme="minorHAnsi" w:cstheme="minorHAnsi"/>
          <w:sz w:val="22"/>
          <w:szCs w:val="22"/>
        </w:rPr>
        <w:t xml:space="preserve"> a </w:t>
      </w:r>
      <w:r w:rsidR="00173F32">
        <w:rPr>
          <w:rFonts w:asciiTheme="minorHAnsi" w:hAnsiTheme="minorHAnsi" w:cstheme="minorHAnsi"/>
          <w:sz w:val="22"/>
          <w:szCs w:val="22"/>
        </w:rPr>
        <w:t xml:space="preserve">small </w:t>
      </w:r>
      <w:r w:rsidR="00B34F42" w:rsidRPr="000E3FC1">
        <w:rPr>
          <w:rFonts w:asciiTheme="minorHAnsi" w:hAnsiTheme="minorHAnsi" w:cstheme="minorHAnsi"/>
          <w:sz w:val="22"/>
          <w:szCs w:val="22"/>
        </w:rPr>
        <w:t>selection of outputs (2016-2018) that demonstrate the internal and external collaborations of a selection of IHR members.</w:t>
      </w:r>
    </w:p>
    <w:p w14:paraId="3F3FCADE" w14:textId="0709D2CF" w:rsidR="003141E6" w:rsidRDefault="003141E6" w:rsidP="00C1374B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E8F8DD" w14:textId="1B5B666B" w:rsidR="003C3812" w:rsidRDefault="003C3812" w:rsidP="00C1374B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74E39A" w14:textId="0FAC1337" w:rsidR="003C3812" w:rsidRDefault="003C3812" w:rsidP="00C1374B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69E38B" w14:textId="144B3F0A" w:rsidR="00D22869" w:rsidRDefault="00D22869" w:rsidP="00C1374B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BE198F" w14:textId="77777777" w:rsidR="00D22869" w:rsidRDefault="00D22869" w:rsidP="00C1374B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F65251" w14:textId="77777777" w:rsidR="006B7A66" w:rsidRDefault="006B7A66" w:rsidP="00C1374B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6FDFB5" w14:textId="6AB2A36D" w:rsidR="00173F32" w:rsidRPr="001163AD" w:rsidRDefault="00173F32" w:rsidP="001163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63A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Appendix 1: </w:t>
      </w:r>
      <w:r w:rsidR="001163AD">
        <w:rPr>
          <w:rFonts w:asciiTheme="minorHAnsi" w:hAnsiTheme="minorHAnsi" w:cstheme="minorHAnsi"/>
          <w:b/>
          <w:sz w:val="22"/>
          <w:szCs w:val="22"/>
        </w:rPr>
        <w:t xml:space="preserve">A selection of </w:t>
      </w:r>
      <w:r w:rsidRPr="001163AD">
        <w:rPr>
          <w:rFonts w:asciiTheme="minorHAnsi" w:hAnsiTheme="minorHAnsi" w:cstheme="minorHAnsi"/>
          <w:b/>
          <w:sz w:val="22"/>
          <w:szCs w:val="22"/>
        </w:rPr>
        <w:t>IHR outputs</w:t>
      </w:r>
    </w:p>
    <w:p w14:paraId="57F6164B" w14:textId="584B44B0" w:rsidR="003B5563" w:rsidRPr="000E3FC1" w:rsidRDefault="003B5563" w:rsidP="00D33C4F">
      <w:pPr>
        <w:rPr>
          <w:rFonts w:eastAsia="Times New Roman"/>
          <w:color w:val="000000"/>
          <w:sz w:val="22"/>
          <w:szCs w:val="22"/>
          <w:lang w:eastAsia="en-US"/>
        </w:rPr>
      </w:pPr>
    </w:p>
    <w:p w14:paraId="44D32D80" w14:textId="77777777" w:rsidR="000E3FC1" w:rsidRDefault="000E3FC1" w:rsidP="000E3FC1">
      <w:pPr>
        <w:pStyle w:val="apa6"/>
        <w:spacing w:before="0" w:beforeAutospacing="0" w:after="160" w:afterAutospacing="0"/>
        <w:ind w:firstLine="720"/>
        <w:contextualSpacing/>
        <w:rPr>
          <w:rStyle w:val="apple-converted-space"/>
          <w:rFonts w:asciiTheme="minorHAnsi" w:hAnsiTheme="minorHAnsi" w:cs="Arial"/>
          <w:iCs/>
          <w:color w:val="000000" w:themeColor="text1"/>
          <w:sz w:val="22"/>
          <w:szCs w:val="22"/>
        </w:rPr>
      </w:pPr>
      <w:r w:rsidRPr="00B34F42">
        <w:rPr>
          <w:rFonts w:asciiTheme="minorHAnsi" w:hAnsiTheme="minorHAnsi" w:cs="Arial"/>
          <w:color w:val="000000" w:themeColor="text1"/>
          <w:sz w:val="22"/>
          <w:szCs w:val="22"/>
        </w:rPr>
        <w:t>Ainscough, L.P., Ford, J.L., Morecroft, C.W., Peak, M., Turner, M.A., Nunn, A.J., Roberts, M. (2017) Accuracy of Intravenous and Enteral Preparations Involving Small Volumes for Paediatric Use: A Review.</w:t>
      </w:r>
      <w:r w:rsidRPr="00B34F42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B34F42">
        <w:rPr>
          <w:rFonts w:asciiTheme="minorHAnsi" w:hAnsiTheme="minorHAnsi" w:cs="Arial"/>
          <w:iCs/>
          <w:color w:val="000000" w:themeColor="text1"/>
          <w:sz w:val="22"/>
          <w:szCs w:val="22"/>
        </w:rPr>
        <w:t>Eur. J. Hosp. Pharm.</w:t>
      </w:r>
      <w:r>
        <w:rPr>
          <w:rFonts w:asciiTheme="minorHAnsi" w:hAnsiTheme="minorHAnsi" w:cs="Arial"/>
          <w:iCs/>
          <w:color w:val="000000" w:themeColor="text1"/>
          <w:sz w:val="22"/>
          <w:szCs w:val="22"/>
        </w:rPr>
        <w:t xml:space="preserve">, 25, 2: 66-71 </w:t>
      </w:r>
      <w:r w:rsidRPr="00B34F42">
        <w:rPr>
          <w:rStyle w:val="apple-converted-space"/>
          <w:rFonts w:asciiTheme="minorHAnsi" w:hAnsiTheme="minorHAnsi" w:cs="Arial"/>
          <w:iCs/>
          <w:color w:val="000000" w:themeColor="text1"/>
          <w:sz w:val="22"/>
          <w:szCs w:val="22"/>
        </w:rPr>
        <w:t> </w:t>
      </w:r>
    </w:p>
    <w:p w14:paraId="42EB5937" w14:textId="211F3223" w:rsidR="000E3FC1" w:rsidRDefault="000E3FC1" w:rsidP="000E3FC1">
      <w:pPr>
        <w:pStyle w:val="apa6"/>
        <w:spacing w:before="0" w:beforeAutospacing="0" w:after="160" w:afterAutospacing="0"/>
        <w:ind w:firstLine="72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0E3FC1">
        <w:rPr>
          <w:rFonts w:asciiTheme="minorHAnsi" w:hAnsiTheme="minorHAnsi"/>
          <w:color w:val="000000" w:themeColor="text1"/>
          <w:sz w:val="22"/>
          <w:szCs w:val="22"/>
        </w:rPr>
        <w:t>Birtwistle, S.B., Ashcroft, G., Murphy, R., Gee, I., Poole, H., &amp; </w:t>
      </w:r>
      <w:r w:rsidRPr="000E3FC1">
        <w:rPr>
          <w:rFonts w:asciiTheme="minorHAnsi" w:hAnsiTheme="minorHAnsi"/>
          <w:bCs/>
          <w:color w:val="000000" w:themeColor="text1"/>
          <w:sz w:val="22"/>
          <w:szCs w:val="22"/>
        </w:rPr>
        <w:t>Watson, P.M.</w:t>
      </w:r>
      <w:r w:rsidRPr="000E3FC1">
        <w:rPr>
          <w:rFonts w:asciiTheme="minorHAnsi" w:hAnsiTheme="minorHAnsi"/>
          <w:color w:val="000000" w:themeColor="text1"/>
          <w:sz w:val="22"/>
          <w:szCs w:val="22"/>
        </w:rPr>
        <w:t> (2018). Factors influencing patient uptake of an exercise referral scheme: a qualitative study. </w:t>
      </w:r>
      <w:r w:rsidRPr="000E3FC1">
        <w:rPr>
          <w:rFonts w:asciiTheme="minorHAnsi" w:hAnsiTheme="minorHAnsi"/>
          <w:iCs/>
          <w:color w:val="000000" w:themeColor="text1"/>
          <w:sz w:val="22"/>
          <w:szCs w:val="22"/>
        </w:rPr>
        <w:t>Health Education Research. </w:t>
      </w:r>
      <w:r w:rsidRPr="000E3FC1">
        <w:rPr>
          <w:rFonts w:asciiTheme="minorHAnsi" w:hAnsiTheme="minorHAnsi"/>
          <w:color w:val="000000" w:themeColor="text1"/>
          <w:sz w:val="22"/>
          <w:szCs w:val="22"/>
        </w:rPr>
        <w:t xml:space="preserve">Advance online publication. </w:t>
      </w:r>
      <w:proofErr w:type="spellStart"/>
      <w:r w:rsidRPr="000E3FC1">
        <w:rPr>
          <w:rFonts w:asciiTheme="minorHAnsi" w:hAnsiTheme="minorHAnsi"/>
          <w:color w:val="000000" w:themeColor="text1"/>
          <w:sz w:val="22"/>
          <w:szCs w:val="22"/>
        </w:rPr>
        <w:t>doi</w:t>
      </w:r>
      <w:proofErr w:type="spellEnd"/>
      <w:r w:rsidRPr="000E3FC1">
        <w:rPr>
          <w:rFonts w:asciiTheme="minorHAnsi" w:hAnsiTheme="minorHAnsi"/>
          <w:color w:val="000000" w:themeColor="text1"/>
          <w:sz w:val="22"/>
          <w:szCs w:val="22"/>
        </w:rPr>
        <w:t>: 10.1093/her/cyy038</w:t>
      </w:r>
    </w:p>
    <w:p w14:paraId="32005A8C" w14:textId="0C1569C2" w:rsidR="000E3FC1" w:rsidRPr="000E3FC1" w:rsidRDefault="000E3FC1" w:rsidP="000E3FC1">
      <w:pPr>
        <w:pStyle w:val="apa6"/>
        <w:spacing w:before="0" w:beforeAutospacing="0" w:after="160" w:afterAutospacing="0"/>
        <w:ind w:firstLine="720"/>
        <w:contextualSpacing/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</w:pPr>
      <w:r w:rsidRPr="000E3FC1">
        <w:rPr>
          <w:rFonts w:asciiTheme="minorHAnsi" w:hAnsiTheme="minorHAnsi"/>
          <w:color w:val="000000" w:themeColor="text1"/>
          <w:sz w:val="22"/>
          <w:szCs w:val="22"/>
        </w:rPr>
        <w:t xml:space="preserve">Buckley, B.J.R., </w:t>
      </w:r>
      <w:proofErr w:type="spellStart"/>
      <w:r w:rsidRPr="000E3FC1">
        <w:rPr>
          <w:rFonts w:asciiTheme="minorHAnsi" w:hAnsiTheme="minorHAnsi"/>
          <w:color w:val="000000" w:themeColor="text1"/>
          <w:sz w:val="22"/>
          <w:szCs w:val="22"/>
        </w:rPr>
        <w:t>Thijssen</w:t>
      </w:r>
      <w:proofErr w:type="spellEnd"/>
      <w:r w:rsidRPr="000E3FC1">
        <w:rPr>
          <w:rFonts w:asciiTheme="minorHAnsi" w:hAnsiTheme="minorHAnsi"/>
          <w:color w:val="000000" w:themeColor="text1"/>
          <w:sz w:val="22"/>
          <w:szCs w:val="22"/>
        </w:rPr>
        <w:t xml:space="preserve">, D.H.J., Murphy, R.C., Graves, L.E.F., Whyte, G., </w:t>
      </w:r>
      <w:proofErr w:type="spellStart"/>
      <w:r w:rsidRPr="000E3FC1">
        <w:rPr>
          <w:rFonts w:asciiTheme="minorHAnsi" w:hAnsiTheme="minorHAnsi"/>
          <w:color w:val="000000" w:themeColor="text1"/>
          <w:sz w:val="22"/>
          <w:szCs w:val="22"/>
        </w:rPr>
        <w:t>Gillison</w:t>
      </w:r>
      <w:proofErr w:type="spellEnd"/>
      <w:r w:rsidRPr="000E3FC1">
        <w:rPr>
          <w:rFonts w:asciiTheme="minorHAnsi" w:hAnsiTheme="minorHAnsi"/>
          <w:color w:val="000000" w:themeColor="text1"/>
          <w:sz w:val="22"/>
          <w:szCs w:val="22"/>
        </w:rPr>
        <w:t>, F.B., Crone, D., Wilson, P.M., &amp; </w:t>
      </w:r>
      <w:r w:rsidRPr="000E3FC1">
        <w:rPr>
          <w:rFonts w:asciiTheme="minorHAnsi" w:hAnsiTheme="minorHAnsi"/>
          <w:bCs/>
          <w:color w:val="000000" w:themeColor="text1"/>
          <w:sz w:val="22"/>
          <w:szCs w:val="22"/>
        </w:rPr>
        <w:t>Watson, P.M.</w:t>
      </w:r>
      <w:r w:rsidRPr="000E3FC1">
        <w:rPr>
          <w:rFonts w:asciiTheme="minorHAnsi" w:hAnsiTheme="minorHAnsi"/>
          <w:color w:val="000000" w:themeColor="text1"/>
          <w:sz w:val="22"/>
          <w:szCs w:val="22"/>
        </w:rPr>
        <w:t> (2018).  Making a move in exercise referral: co-development of a physical activity referral scheme. </w:t>
      </w:r>
      <w:r w:rsidRPr="000E3FC1">
        <w:rPr>
          <w:rFonts w:asciiTheme="minorHAnsi" w:hAnsiTheme="minorHAnsi"/>
          <w:iCs/>
          <w:color w:val="000000" w:themeColor="text1"/>
          <w:sz w:val="22"/>
          <w:szCs w:val="22"/>
        </w:rPr>
        <w:t>Journal of Public</w:t>
      </w:r>
      <w:r w:rsidRPr="006544A6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Health</w:t>
      </w:r>
      <w:r w:rsidRPr="006544A6">
        <w:rPr>
          <w:rFonts w:asciiTheme="minorHAnsi" w:hAnsiTheme="minorHAnsi"/>
          <w:color w:val="000000" w:themeColor="text1"/>
          <w:sz w:val="22"/>
          <w:szCs w:val="22"/>
        </w:rPr>
        <w:t xml:space="preserve">.  Advance online publication. </w:t>
      </w:r>
      <w:proofErr w:type="spellStart"/>
      <w:r w:rsidRPr="006544A6">
        <w:rPr>
          <w:rFonts w:asciiTheme="minorHAnsi" w:hAnsiTheme="minorHAnsi"/>
          <w:color w:val="000000" w:themeColor="text1"/>
          <w:sz w:val="22"/>
          <w:szCs w:val="22"/>
        </w:rPr>
        <w:t>doi</w:t>
      </w:r>
      <w:proofErr w:type="spellEnd"/>
      <w:r w:rsidRPr="006544A6">
        <w:rPr>
          <w:rFonts w:asciiTheme="minorHAnsi" w:hAnsiTheme="minorHAnsi"/>
          <w:color w:val="000000" w:themeColor="text1"/>
          <w:sz w:val="22"/>
          <w:szCs w:val="22"/>
        </w:rPr>
        <w:t>: 10.1093/</w:t>
      </w:r>
      <w:proofErr w:type="spellStart"/>
      <w:r w:rsidRPr="006544A6">
        <w:rPr>
          <w:rFonts w:asciiTheme="minorHAnsi" w:hAnsiTheme="minorHAnsi"/>
          <w:color w:val="000000" w:themeColor="text1"/>
          <w:sz w:val="22"/>
          <w:szCs w:val="22"/>
        </w:rPr>
        <w:t>pubmed</w:t>
      </w:r>
      <w:proofErr w:type="spellEnd"/>
      <w:r w:rsidRPr="006544A6">
        <w:rPr>
          <w:rFonts w:asciiTheme="minorHAnsi" w:hAnsiTheme="minorHAnsi"/>
          <w:color w:val="000000" w:themeColor="text1"/>
          <w:sz w:val="22"/>
          <w:szCs w:val="22"/>
        </w:rPr>
        <w:t>/fdy072</w:t>
      </w:r>
    </w:p>
    <w:p w14:paraId="529E8653" w14:textId="77777777" w:rsidR="000E3FC1" w:rsidRDefault="000E3FC1" w:rsidP="000E3FC1">
      <w:pPr>
        <w:pStyle w:val="apa6"/>
        <w:spacing w:before="0" w:beforeAutospacing="0" w:after="160" w:afterAutospacing="0"/>
        <w:ind w:firstLine="720"/>
        <w:contextualSpacing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3B556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Chalmers, C., Hurst, W., Mackay, M., Fergus, P.,</w:t>
      </w:r>
      <w:r w:rsidRPr="00AD12A4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34F42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(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2018</w:t>
      </w:r>
      <w:r w:rsidRPr="00B34F42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)</w:t>
      </w:r>
      <w:r w:rsidRPr="003B556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 </w:t>
      </w:r>
      <w:r w:rsidRPr="00B34F42">
        <w:rPr>
          <w:rFonts w:asciiTheme="minorHAnsi" w:hAnsiTheme="minorHAnsi"/>
          <w:bCs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Identifying Behavioural Changes for Health Monitoring Applications using the Advanced Metering Infrastructure</w:t>
      </w:r>
      <w:r w:rsidRPr="003B556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, Taylor and Francis Behaviour &amp; Information Technology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(accepted)</w:t>
      </w:r>
      <w:r w:rsidRPr="003B556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1361F84" w14:textId="7416FE28" w:rsidR="000E3FC1" w:rsidRPr="000E3FC1" w:rsidRDefault="000E3FC1" w:rsidP="000E3FC1">
      <w:pPr>
        <w:pStyle w:val="apa6"/>
        <w:spacing w:before="0" w:beforeAutospacing="0" w:after="160" w:afterAutospacing="0"/>
        <w:ind w:firstLine="720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F5551">
        <w:rPr>
          <w:rFonts w:asciiTheme="minorHAnsi" w:hAnsiTheme="minorHAnsi" w:cs="Arial"/>
          <w:color w:val="000000" w:themeColor="text1"/>
          <w:sz w:val="22"/>
          <w:szCs w:val="22"/>
        </w:rPr>
        <w:t>Ennis, S.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Pr="004F5551">
        <w:rPr>
          <w:rFonts w:asciiTheme="minorHAnsi" w:hAnsiTheme="minorHAnsi" w:cs="Arial"/>
          <w:color w:val="000000" w:themeColor="text1"/>
          <w:sz w:val="22"/>
          <w:szCs w:val="22"/>
        </w:rPr>
        <w:t xml:space="preserve"> McGregor, G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4F5551">
        <w:rPr>
          <w:rFonts w:asciiTheme="minorHAnsi" w:hAnsiTheme="minorHAnsi" w:cs="Arial"/>
          <w:color w:val="000000" w:themeColor="text1"/>
          <w:sz w:val="22"/>
          <w:szCs w:val="22"/>
        </w:rPr>
        <w:t>, Shave, R., McDonnell, B., Thompson, A., Banerjee, P., Jones, H., (2018). Can a low frequency electrical muscle stimulation intervention improve endothelial function in advanced heart failure patients? European Society of Cardiology Heart Failure (in press).</w:t>
      </w:r>
    </w:p>
    <w:p w14:paraId="3CB06075" w14:textId="075EB0EB" w:rsidR="000E3FC1" w:rsidRDefault="003B5563" w:rsidP="000E3FC1">
      <w:pPr>
        <w:pStyle w:val="apa6"/>
        <w:spacing w:before="0" w:beforeAutospacing="0" w:after="160" w:afterAutospacing="0"/>
        <w:ind w:firstLine="72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B34F42">
        <w:rPr>
          <w:rFonts w:asciiTheme="minorHAnsi" w:hAnsiTheme="minorHAnsi"/>
          <w:color w:val="000000" w:themeColor="text1"/>
          <w:sz w:val="22"/>
          <w:szCs w:val="22"/>
        </w:rPr>
        <w:t>Gibson,</w:t>
      </w:r>
      <w:r w:rsidR="0098510B">
        <w:rPr>
          <w:rFonts w:asciiTheme="minorHAnsi" w:hAnsiTheme="minorHAnsi"/>
          <w:color w:val="000000" w:themeColor="text1"/>
          <w:sz w:val="22"/>
          <w:szCs w:val="22"/>
        </w:rPr>
        <w:t xml:space="preserve"> B.,</w:t>
      </w:r>
      <w:r w:rsidRPr="00B34F4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B34F42">
        <w:rPr>
          <w:rFonts w:asciiTheme="minorHAnsi" w:hAnsiTheme="minorHAnsi"/>
          <w:color w:val="000000" w:themeColor="text1"/>
          <w:sz w:val="22"/>
          <w:szCs w:val="22"/>
        </w:rPr>
        <w:t>Umeh</w:t>
      </w:r>
      <w:proofErr w:type="spellEnd"/>
      <w:r w:rsidRPr="00B34F42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98510B">
        <w:rPr>
          <w:rFonts w:asciiTheme="minorHAnsi" w:hAnsiTheme="minorHAnsi"/>
          <w:color w:val="000000" w:themeColor="text1"/>
          <w:sz w:val="22"/>
          <w:szCs w:val="22"/>
        </w:rPr>
        <w:t xml:space="preserve"> K.F., </w:t>
      </w:r>
      <w:r w:rsidRPr="00B34F42">
        <w:rPr>
          <w:rFonts w:asciiTheme="minorHAnsi" w:hAnsiTheme="minorHAnsi"/>
          <w:color w:val="000000" w:themeColor="text1"/>
          <w:sz w:val="22"/>
          <w:szCs w:val="22"/>
        </w:rPr>
        <w:t>Newson,</w:t>
      </w:r>
      <w:r w:rsidR="0098510B">
        <w:rPr>
          <w:rFonts w:asciiTheme="minorHAnsi" w:hAnsiTheme="minorHAnsi"/>
          <w:color w:val="000000" w:themeColor="text1"/>
          <w:sz w:val="22"/>
          <w:szCs w:val="22"/>
        </w:rPr>
        <w:t xml:space="preserve"> L.,</w:t>
      </w:r>
      <w:r w:rsidRPr="00B34F42">
        <w:rPr>
          <w:rFonts w:asciiTheme="minorHAnsi" w:hAnsiTheme="minorHAnsi"/>
          <w:color w:val="000000" w:themeColor="text1"/>
          <w:sz w:val="22"/>
          <w:szCs w:val="22"/>
        </w:rPr>
        <w:t xml:space="preserve"> Davies</w:t>
      </w:r>
      <w:r w:rsidR="00AD12A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8510B">
        <w:rPr>
          <w:rFonts w:asciiTheme="minorHAnsi" w:hAnsiTheme="minorHAnsi"/>
          <w:color w:val="000000" w:themeColor="text1"/>
          <w:sz w:val="22"/>
          <w:szCs w:val="22"/>
        </w:rPr>
        <w:t xml:space="preserve">, I.G., </w:t>
      </w:r>
      <w:r w:rsidRPr="00B34F42">
        <w:rPr>
          <w:rFonts w:asciiTheme="minorHAnsi" w:hAnsiTheme="minorHAnsi"/>
          <w:color w:val="000000" w:themeColor="text1"/>
          <w:sz w:val="22"/>
          <w:szCs w:val="22"/>
        </w:rPr>
        <w:t>(2018) Efficacy of the Best Possible Selves Protocol for Managing the Emotional Aspects of Diabetes Self-management: A Sequential Exploratory Mixed-Methods Approach. Journal of Health Psychology</w:t>
      </w:r>
      <w:r w:rsidR="0098510B">
        <w:rPr>
          <w:rFonts w:asciiTheme="minorHAnsi" w:hAnsiTheme="minorHAnsi"/>
          <w:color w:val="000000" w:themeColor="text1"/>
          <w:sz w:val="22"/>
          <w:szCs w:val="22"/>
        </w:rPr>
        <w:t>. (in press)</w:t>
      </w:r>
    </w:p>
    <w:p w14:paraId="56B5DDB1" w14:textId="19940AD9" w:rsidR="000E3FC1" w:rsidRDefault="000E3FC1" w:rsidP="000E3FC1">
      <w:pPr>
        <w:pStyle w:val="apa6"/>
        <w:spacing w:before="0" w:beforeAutospacing="0" w:after="160" w:afterAutospacing="0"/>
        <w:ind w:firstLine="72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B34F42">
        <w:rPr>
          <w:rFonts w:asciiTheme="minorHAnsi" w:hAnsiTheme="minorHAnsi"/>
          <w:color w:val="000000" w:themeColor="text1"/>
          <w:sz w:val="22"/>
          <w:szCs w:val="22"/>
        </w:rPr>
        <w:t>Gjuladin-Hellon</w:t>
      </w:r>
      <w:proofErr w:type="spellEnd"/>
      <w:r w:rsidRPr="00B34F42">
        <w:rPr>
          <w:rFonts w:asciiTheme="minorHAnsi" w:hAnsi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T.,</w:t>
      </w:r>
      <w:r w:rsidRPr="00B34F42">
        <w:rPr>
          <w:rFonts w:asciiTheme="minorHAnsi" w:hAnsiTheme="minorHAnsi"/>
          <w:color w:val="000000" w:themeColor="text1"/>
          <w:sz w:val="22"/>
          <w:szCs w:val="22"/>
        </w:rPr>
        <w:t xml:space="preserve"> Davies,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I.G.,</w:t>
      </w:r>
      <w:r w:rsidRPr="00B34F42">
        <w:rPr>
          <w:rFonts w:asciiTheme="minorHAnsi" w:hAnsiTheme="minorHAnsi"/>
          <w:color w:val="000000" w:themeColor="text1"/>
          <w:sz w:val="22"/>
          <w:szCs w:val="22"/>
        </w:rPr>
        <w:t xml:space="preserve"> Penson,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P.,</w:t>
      </w:r>
      <w:r w:rsidRPr="00B34F4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B34F42">
        <w:rPr>
          <w:rFonts w:asciiTheme="minorHAnsi" w:hAnsiTheme="minorHAnsi"/>
          <w:color w:val="000000" w:themeColor="text1"/>
          <w:sz w:val="22"/>
          <w:szCs w:val="22"/>
        </w:rPr>
        <w:t>Baghbadorani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>, R.A.,</w:t>
      </w:r>
      <w:r w:rsidRPr="00B34F42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>
        <w:rPr>
          <w:rFonts w:asciiTheme="minorHAnsi" w:hAnsiTheme="minorHAnsi"/>
          <w:color w:val="000000" w:themeColor="text1"/>
          <w:sz w:val="22"/>
          <w:szCs w:val="22"/>
        </w:rPr>
        <w:t>2018)</w:t>
      </w:r>
      <w:r w:rsidRPr="00B34F42">
        <w:rPr>
          <w:rFonts w:asciiTheme="minorHAnsi" w:hAnsiTheme="minorHAnsi"/>
          <w:color w:val="000000" w:themeColor="text1"/>
          <w:sz w:val="22"/>
          <w:szCs w:val="22"/>
        </w:rPr>
        <w:t xml:space="preserve"> Effects of carbohydrate restricted diets on low density lipoprotein-cholesterol levels in overweight and obese adults: a systematic review and meta-analysis of large randomised controlled trials of at least 6 months. Nutrition Reviews.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(accepted)</w:t>
      </w:r>
    </w:p>
    <w:p w14:paraId="00AE2388" w14:textId="77777777" w:rsidR="000E3FC1" w:rsidRDefault="000E3FC1" w:rsidP="000E3FC1">
      <w:pPr>
        <w:pStyle w:val="apa6"/>
        <w:spacing w:before="0" w:beforeAutospacing="0" w:after="160" w:afterAutospacing="0"/>
        <w:ind w:firstLine="720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E3FC1">
        <w:rPr>
          <w:rFonts w:asciiTheme="minorHAnsi" w:hAnsiTheme="minorHAnsi" w:cs="Arial"/>
          <w:color w:val="000000" w:themeColor="text1"/>
          <w:sz w:val="22"/>
          <w:szCs w:val="22"/>
        </w:rPr>
        <w:t xml:space="preserve">Longworth, H., </w:t>
      </w:r>
      <w:proofErr w:type="spellStart"/>
      <w:r w:rsidRPr="000E3FC1">
        <w:rPr>
          <w:rFonts w:asciiTheme="minorHAnsi" w:hAnsiTheme="minorHAnsi" w:cs="Arial"/>
          <w:color w:val="000000" w:themeColor="text1"/>
          <w:sz w:val="22"/>
          <w:szCs w:val="22"/>
        </w:rPr>
        <w:t>McCallin</w:t>
      </w:r>
      <w:proofErr w:type="spellEnd"/>
      <w:r w:rsidRPr="000E3FC1">
        <w:rPr>
          <w:rFonts w:asciiTheme="minorHAnsi" w:hAnsiTheme="minorHAnsi" w:cs="Arial"/>
          <w:color w:val="000000" w:themeColor="text1"/>
          <w:sz w:val="22"/>
          <w:szCs w:val="22"/>
        </w:rPr>
        <w:t xml:space="preserve">, K., Narayanan, R.P., Turner, M.A., </w:t>
      </w:r>
      <w:proofErr w:type="spellStart"/>
      <w:r w:rsidRPr="000E3FC1">
        <w:rPr>
          <w:rFonts w:asciiTheme="minorHAnsi" w:hAnsiTheme="minorHAnsi" w:cs="Arial"/>
          <w:color w:val="000000" w:themeColor="text1"/>
          <w:sz w:val="22"/>
          <w:szCs w:val="22"/>
        </w:rPr>
        <w:t>Quenby</w:t>
      </w:r>
      <w:proofErr w:type="spellEnd"/>
      <w:r w:rsidRPr="000E3FC1">
        <w:rPr>
          <w:rFonts w:asciiTheme="minorHAnsi" w:hAnsiTheme="minorHAnsi" w:cs="Arial"/>
          <w:color w:val="000000" w:themeColor="text1"/>
          <w:sz w:val="22"/>
          <w:szCs w:val="22"/>
        </w:rPr>
        <w:t>, S., Rycroft, D., Charnley, M., </w:t>
      </w:r>
      <w:r w:rsidRPr="000E3FC1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Abayomi, </w:t>
      </w:r>
      <w:proofErr w:type="spellStart"/>
      <w:r w:rsidRPr="000E3FC1">
        <w:rPr>
          <w:rFonts w:asciiTheme="minorHAnsi" w:hAnsiTheme="minorHAnsi" w:cs="Arial"/>
          <w:bCs/>
          <w:color w:val="000000" w:themeColor="text1"/>
          <w:sz w:val="22"/>
          <w:szCs w:val="22"/>
        </w:rPr>
        <w:t>J.,</w:t>
      </w:r>
      <w:r w:rsidRPr="000E3FC1">
        <w:rPr>
          <w:rFonts w:asciiTheme="minorHAnsi" w:hAnsiTheme="minorHAnsi" w:cs="Arial"/>
          <w:color w:val="000000" w:themeColor="text1"/>
          <w:sz w:val="22"/>
          <w:szCs w:val="22"/>
        </w:rPr>
        <w:t>Topping</w:t>
      </w:r>
      <w:proofErr w:type="spellEnd"/>
      <w:r w:rsidRPr="000E3FC1">
        <w:rPr>
          <w:rFonts w:asciiTheme="minorHAnsi" w:hAnsiTheme="minorHAnsi" w:cs="Arial"/>
          <w:color w:val="000000" w:themeColor="text1"/>
          <w:sz w:val="22"/>
          <w:szCs w:val="22"/>
        </w:rPr>
        <w:t>, J., Weeks, A.D. and</w:t>
      </w:r>
      <w:r w:rsidRPr="00D33C4F">
        <w:rPr>
          <w:rFonts w:asciiTheme="minorHAnsi" w:hAnsiTheme="minorHAnsi" w:cs="Arial"/>
          <w:color w:val="000000" w:themeColor="text1"/>
          <w:sz w:val="22"/>
          <w:szCs w:val="22"/>
        </w:rPr>
        <w:t xml:space="preserve"> Wilding, J.P., (2017) Screening methods for obstructive sleep apnoea in severely obese pregnant women.</w:t>
      </w:r>
      <w:r w:rsidRPr="00B34F4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D33C4F">
        <w:rPr>
          <w:rFonts w:asciiTheme="minorHAnsi" w:hAnsiTheme="minorHAnsi" w:cs="Arial"/>
          <w:iCs/>
          <w:color w:val="000000" w:themeColor="text1"/>
          <w:sz w:val="22"/>
          <w:szCs w:val="22"/>
        </w:rPr>
        <w:t>Clinical Obesity</w:t>
      </w:r>
      <w:r w:rsidRPr="00B34F4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D33C4F">
        <w:rPr>
          <w:rFonts w:asciiTheme="minorHAnsi" w:hAnsiTheme="minorHAnsi" w:cs="Arial"/>
          <w:bCs/>
          <w:color w:val="000000" w:themeColor="text1"/>
          <w:sz w:val="22"/>
          <w:szCs w:val="22"/>
        </w:rPr>
        <w:t>7</w:t>
      </w:r>
      <w:r w:rsidRPr="00D33C4F">
        <w:rPr>
          <w:rFonts w:asciiTheme="minorHAnsi" w:hAnsiTheme="minorHAnsi" w:cs="Arial"/>
          <w:color w:val="000000" w:themeColor="text1"/>
          <w:sz w:val="22"/>
          <w:szCs w:val="22"/>
        </w:rPr>
        <w:t>, 239–244.</w:t>
      </w:r>
      <w:r w:rsidRPr="000E3FC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63ECB522" w14:textId="5EF48CA1" w:rsidR="000E3FC1" w:rsidRPr="000E3FC1" w:rsidRDefault="000E3FC1" w:rsidP="000E3FC1">
      <w:pPr>
        <w:pStyle w:val="apa6"/>
        <w:spacing w:before="0" w:beforeAutospacing="0" w:after="160" w:afterAutospacing="0"/>
        <w:ind w:firstLine="720"/>
        <w:contextualSpacing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proofErr w:type="spellStart"/>
      <w:r w:rsidRPr="00B34F42">
        <w:rPr>
          <w:rFonts w:asciiTheme="minorHAnsi" w:hAnsiTheme="minorHAnsi" w:cs="Arial"/>
          <w:color w:val="000000" w:themeColor="text1"/>
          <w:sz w:val="22"/>
          <w:szCs w:val="22"/>
        </w:rPr>
        <w:t>Madathilethu</w:t>
      </w:r>
      <w:proofErr w:type="spellEnd"/>
      <w:r w:rsidRPr="00B34F42">
        <w:rPr>
          <w:rFonts w:asciiTheme="minorHAnsi" w:hAnsiTheme="minorHAnsi" w:cs="Arial"/>
          <w:color w:val="000000" w:themeColor="text1"/>
          <w:sz w:val="22"/>
          <w:szCs w:val="22"/>
        </w:rPr>
        <w:t>, J., Roberts, M., Peak, M., Blair, J., Prescott, R., Ford, J.L. (2017) Content uniformity of quartered hydrocortisone tablets in comparison with mini-tablets for paediatric dosing.</w:t>
      </w:r>
      <w:r w:rsidRPr="00B34F42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B34F42">
        <w:rPr>
          <w:rFonts w:asciiTheme="minorHAnsi" w:hAnsiTheme="minorHAnsi" w:cs="Arial"/>
          <w:iCs/>
          <w:color w:val="000000" w:themeColor="text1"/>
          <w:sz w:val="22"/>
          <w:szCs w:val="22"/>
        </w:rPr>
        <w:t>BMJ Paediatrics Open</w:t>
      </w:r>
      <w:r w:rsidRPr="00B34F42">
        <w:rPr>
          <w:rStyle w:val="apple-converted-space"/>
          <w:rFonts w:asciiTheme="minorHAnsi" w:hAnsiTheme="minorHAnsi" w:cs="Arial"/>
          <w:iCs/>
          <w:color w:val="000000" w:themeColor="text1"/>
          <w:sz w:val="22"/>
          <w:szCs w:val="22"/>
        </w:rPr>
        <w:t> </w:t>
      </w:r>
      <w:r w:rsidRPr="00B34F42">
        <w:rPr>
          <w:rFonts w:asciiTheme="minorHAnsi" w:hAnsiTheme="minorHAnsi" w:cs="Arial"/>
          <w:bCs/>
          <w:color w:val="000000" w:themeColor="text1"/>
          <w:sz w:val="22"/>
          <w:szCs w:val="22"/>
          <w:lang w:val="en-US"/>
        </w:rPr>
        <w:t>2</w:t>
      </w:r>
      <w:r w:rsidRPr="00B34F42">
        <w:rPr>
          <w:rFonts w:asciiTheme="minorHAnsi" w:hAnsiTheme="minorHAnsi" w:cs="Arial"/>
          <w:iCs/>
          <w:color w:val="000000" w:themeColor="text1"/>
          <w:sz w:val="22"/>
          <w:szCs w:val="22"/>
          <w:lang w:val="en-US"/>
        </w:rPr>
        <w:t>:</w:t>
      </w:r>
      <w:r w:rsidRPr="00B34F4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e000198.</w:t>
      </w:r>
      <w:r w:rsidRPr="00B34F42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> </w:t>
      </w:r>
      <w:hyperlink r:id="rId13" w:history="1">
        <w:r w:rsidRPr="00B34F42">
          <w:rPr>
            <w:rStyle w:val="Hyperlink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doi:10.1136/bmjpo-2017-000198</w:t>
        </w:r>
      </w:hyperlink>
    </w:p>
    <w:p w14:paraId="4EC5846B" w14:textId="49373D4E" w:rsidR="000E3FC1" w:rsidRDefault="004F5551" w:rsidP="000E3FC1">
      <w:pPr>
        <w:pStyle w:val="apa6"/>
        <w:spacing w:before="0" w:beforeAutospacing="0" w:after="160" w:afterAutospacing="0"/>
        <w:ind w:firstLine="72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Penson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 P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 Long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, 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L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 Howard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 G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 Howard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 V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J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 Jones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 S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R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 Martin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 S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S,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Mikhailidis</w:t>
      </w:r>
      <w:proofErr w:type="spellEnd"/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 D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P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, </w:t>
      </w:r>
      <w:proofErr w:type="spellStart"/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Muntner</w:t>
      </w:r>
      <w:proofErr w:type="spellEnd"/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 P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 Rizzo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 M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 Rader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 D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J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 Safford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 M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M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, </w:t>
      </w:r>
      <w:proofErr w:type="spellStart"/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Sahebkar</w:t>
      </w:r>
      <w:proofErr w:type="spellEnd"/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 A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, </w:t>
      </w:r>
      <w:proofErr w:type="spellStart"/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Toth</w:t>
      </w:r>
      <w:proofErr w:type="spellEnd"/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 P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.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P, </w:t>
      </w:r>
      <w:proofErr w:type="spellStart"/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Banach</w:t>
      </w:r>
      <w:proofErr w:type="spellEnd"/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 M.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,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 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(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2018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)</w:t>
      </w:r>
      <w:r w:rsidRPr="00B34F42">
        <w:rPr>
          <w:rStyle w:val="apple-converted-space"/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 </w:t>
      </w:r>
      <w:r w:rsidRPr="00B34F42">
        <w:rPr>
          <w:rStyle w:val="Strong"/>
          <w:rFonts w:asciiTheme="minorHAnsi" w:hAnsiTheme="minorHAnsi" w:cs="Arial"/>
          <w:b w:val="0"/>
          <w:color w:val="000000" w:themeColor="text1"/>
          <w:spacing w:val="-4"/>
          <w:sz w:val="22"/>
          <w:szCs w:val="22"/>
        </w:rPr>
        <w:t xml:space="preserve">Associations between cardiovascular disease, cancer and very low HDL cholesterol in the </w:t>
      </w:r>
      <w:proofErr w:type="spellStart"/>
      <w:r w:rsidRPr="00B34F42">
        <w:rPr>
          <w:rStyle w:val="Strong"/>
          <w:rFonts w:asciiTheme="minorHAnsi" w:hAnsiTheme="minorHAnsi" w:cs="Arial"/>
          <w:b w:val="0"/>
          <w:color w:val="000000" w:themeColor="text1"/>
          <w:spacing w:val="-4"/>
          <w:sz w:val="22"/>
          <w:szCs w:val="22"/>
        </w:rPr>
        <w:t>REasons</w:t>
      </w:r>
      <w:proofErr w:type="spellEnd"/>
      <w:r w:rsidRPr="00B34F42">
        <w:rPr>
          <w:rStyle w:val="Strong"/>
          <w:rFonts w:asciiTheme="minorHAnsi" w:hAnsiTheme="minorHAnsi" w:cs="Arial"/>
          <w:b w:val="0"/>
          <w:color w:val="000000" w:themeColor="text1"/>
          <w:spacing w:val="-4"/>
          <w:sz w:val="22"/>
          <w:szCs w:val="22"/>
        </w:rPr>
        <w:t xml:space="preserve"> for Geographical And Racial Differences in Stroke (REGARDS) study.</w:t>
      </w:r>
      <w:r w:rsidRPr="00B34F42">
        <w:rPr>
          <w:rStyle w:val="apple-converted-space"/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 </w:t>
      </w:r>
      <w:r w:rsidRPr="00B34F42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>Cardiovascular Research</w:t>
      </w:r>
      <w:r w:rsidR="0098510B">
        <w:rPr>
          <w:rFonts w:asciiTheme="minorHAnsi" w:hAnsiTheme="minorHAnsi" w:cs="Arial"/>
          <w:color w:val="000000" w:themeColor="text1"/>
          <w:spacing w:val="-4"/>
          <w:sz w:val="22"/>
          <w:szCs w:val="22"/>
          <w:shd w:val="clear" w:color="auto" w:fill="FFFFFF"/>
        </w:rPr>
        <w:t xml:space="preserve"> (in press)</w:t>
      </w:r>
      <w:r w:rsidR="0098510B" w:rsidRPr="00B34F4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6737C348" w14:textId="1C33C56E" w:rsidR="000E3FC1" w:rsidRDefault="000E3FC1" w:rsidP="000E3FC1">
      <w:pPr>
        <w:pStyle w:val="apa6"/>
        <w:spacing w:before="0" w:beforeAutospacing="0" w:after="160" w:afterAutospacing="0"/>
        <w:ind w:firstLine="72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3B5563">
        <w:rPr>
          <w:rFonts w:asciiTheme="minorHAnsi" w:hAnsiTheme="minorHAnsi"/>
          <w:color w:val="000000" w:themeColor="text1"/>
          <w:sz w:val="22"/>
          <w:szCs w:val="22"/>
        </w:rPr>
        <w:t>Richey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 xml:space="preserve"> R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>H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>, Hughes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 xml:space="preserve"> C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>, Craig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 xml:space="preserve"> J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>V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>, Shah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 xml:space="preserve"> U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>U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>, Ford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 xml:space="preserve"> J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>L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>, Barker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 xml:space="preserve"> C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>E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>, Peak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>M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>, Nunn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 xml:space="preserve"> A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>J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>, Turner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 xml:space="preserve"> M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>A.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 xml:space="preserve"> (2017) The use of drug manipulation to obtain doses required in paediatric practice: a systematic review, Int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3B5563">
        <w:rPr>
          <w:rFonts w:asciiTheme="minorHAnsi" w:hAnsiTheme="minorHAnsi"/>
          <w:color w:val="000000" w:themeColor="text1"/>
          <w:sz w:val="22"/>
          <w:szCs w:val="22"/>
        </w:rPr>
        <w:t xml:space="preserve"> J Pharm., 518, 155-166</w:t>
      </w:r>
    </w:p>
    <w:p w14:paraId="66B21608" w14:textId="3189B156" w:rsidR="000E3FC1" w:rsidRDefault="00B34F42" w:rsidP="000E3FC1">
      <w:pPr>
        <w:pStyle w:val="apa6"/>
        <w:spacing w:before="0" w:beforeAutospacing="0" w:after="160" w:afterAutospacing="0"/>
        <w:ind w:firstLine="720"/>
        <w:contextualSpacing/>
        <w:rPr>
          <w:rFonts w:asciiTheme="minorHAnsi" w:hAnsiTheme="minorHAnsi"/>
          <w:color w:val="111111"/>
          <w:sz w:val="22"/>
          <w:szCs w:val="22"/>
        </w:rPr>
      </w:pPr>
      <w:r w:rsidRPr="00B34F42">
        <w:rPr>
          <w:rFonts w:asciiTheme="minorHAnsi" w:hAnsiTheme="minorHAnsi"/>
          <w:color w:val="111111"/>
          <w:sz w:val="22"/>
          <w:szCs w:val="22"/>
        </w:rPr>
        <w:t>Shelley</w:t>
      </w:r>
      <w:r w:rsidR="0098510B">
        <w:rPr>
          <w:rFonts w:asciiTheme="minorHAnsi" w:hAnsiTheme="minorHAnsi"/>
          <w:color w:val="111111"/>
          <w:sz w:val="22"/>
          <w:szCs w:val="22"/>
        </w:rPr>
        <w:t>, J.</w:t>
      </w:r>
      <w:r w:rsidRPr="00B34F42">
        <w:rPr>
          <w:rFonts w:asciiTheme="minorHAnsi" w:hAnsiTheme="minorHAnsi"/>
          <w:color w:val="111111"/>
          <w:sz w:val="22"/>
          <w:szCs w:val="22"/>
        </w:rPr>
        <w:t>, Fairclough,</w:t>
      </w:r>
      <w:r w:rsidR="0098510B">
        <w:rPr>
          <w:rFonts w:asciiTheme="minorHAnsi" w:hAnsiTheme="minorHAnsi"/>
          <w:color w:val="111111"/>
          <w:sz w:val="22"/>
          <w:szCs w:val="22"/>
        </w:rPr>
        <w:t xml:space="preserve"> S.J.,</w:t>
      </w:r>
      <w:r w:rsidRPr="00B34F42">
        <w:rPr>
          <w:rFonts w:asciiTheme="minorHAnsi" w:hAnsiTheme="minorHAnsi"/>
          <w:color w:val="111111"/>
          <w:sz w:val="22"/>
          <w:szCs w:val="22"/>
        </w:rPr>
        <w:t xml:space="preserve"> Knowles,</w:t>
      </w:r>
      <w:r w:rsidR="0098510B">
        <w:rPr>
          <w:rFonts w:asciiTheme="minorHAnsi" w:hAnsiTheme="minorHAnsi"/>
          <w:color w:val="111111"/>
          <w:sz w:val="22"/>
          <w:szCs w:val="22"/>
        </w:rPr>
        <w:t xml:space="preserve"> Z.R.,</w:t>
      </w:r>
      <w:r w:rsidRPr="00B34F42">
        <w:rPr>
          <w:rFonts w:asciiTheme="minorHAnsi" w:hAnsiTheme="minorHAnsi"/>
          <w:color w:val="111111"/>
          <w:sz w:val="22"/>
          <w:szCs w:val="22"/>
        </w:rPr>
        <w:t xml:space="preserve"> Southern,</w:t>
      </w:r>
      <w:r w:rsidR="0098510B">
        <w:rPr>
          <w:rFonts w:asciiTheme="minorHAnsi" w:hAnsiTheme="minorHAnsi"/>
          <w:color w:val="111111"/>
          <w:sz w:val="22"/>
          <w:szCs w:val="22"/>
        </w:rPr>
        <w:t xml:space="preserve"> K.W.,</w:t>
      </w:r>
      <w:r w:rsidRPr="00B34F42">
        <w:rPr>
          <w:rFonts w:asciiTheme="minorHAnsi" w:hAnsiTheme="minorHAnsi"/>
          <w:color w:val="111111"/>
          <w:sz w:val="22"/>
          <w:szCs w:val="22"/>
        </w:rPr>
        <w:t xml:space="preserve"> McCormack,</w:t>
      </w:r>
      <w:r w:rsidR="0098510B">
        <w:rPr>
          <w:rFonts w:asciiTheme="minorHAnsi" w:hAnsiTheme="minorHAnsi"/>
          <w:color w:val="111111"/>
          <w:sz w:val="22"/>
          <w:szCs w:val="22"/>
        </w:rPr>
        <w:t xml:space="preserve"> P.,</w:t>
      </w:r>
      <w:r w:rsidRPr="00B34F42">
        <w:rPr>
          <w:rFonts w:asciiTheme="minorHAnsi" w:hAnsiTheme="minorHAnsi"/>
          <w:color w:val="111111"/>
          <w:sz w:val="22"/>
          <w:szCs w:val="22"/>
        </w:rPr>
        <w:t xml:space="preserve"> Dawson</w:t>
      </w:r>
      <w:r w:rsidR="0098510B">
        <w:rPr>
          <w:rFonts w:asciiTheme="minorHAnsi" w:hAnsiTheme="minorHAnsi"/>
          <w:color w:val="111111"/>
          <w:sz w:val="22"/>
          <w:szCs w:val="22"/>
        </w:rPr>
        <w:t xml:space="preserve">, E.A.,  </w:t>
      </w:r>
      <w:r w:rsidRPr="00B34F42">
        <w:rPr>
          <w:rFonts w:asciiTheme="minorHAnsi" w:hAnsiTheme="minorHAnsi"/>
          <w:color w:val="111111"/>
          <w:sz w:val="22"/>
          <w:szCs w:val="22"/>
        </w:rPr>
        <w:t>Graves</w:t>
      </w:r>
      <w:r w:rsidR="0098510B">
        <w:rPr>
          <w:rFonts w:asciiTheme="minorHAnsi" w:hAnsiTheme="minorHAnsi"/>
          <w:color w:val="111111"/>
          <w:sz w:val="22"/>
          <w:szCs w:val="22"/>
        </w:rPr>
        <w:t>, L.E.F.,</w:t>
      </w:r>
      <w:r w:rsidRPr="00B34F42">
        <w:rPr>
          <w:rFonts w:asciiTheme="minorHAnsi" w:hAnsiTheme="minorHAnsi"/>
          <w:color w:val="111111"/>
          <w:position w:val="10"/>
          <w:sz w:val="22"/>
          <w:szCs w:val="22"/>
        </w:rPr>
        <w:t xml:space="preserve"> </w:t>
      </w:r>
      <w:r w:rsidRPr="00B34F42">
        <w:rPr>
          <w:rFonts w:asciiTheme="minorHAnsi" w:hAnsiTheme="minorHAnsi"/>
          <w:color w:val="111111"/>
          <w:sz w:val="22"/>
          <w:szCs w:val="22"/>
        </w:rPr>
        <w:t>Hanlon</w:t>
      </w:r>
      <w:r w:rsidR="0098510B">
        <w:rPr>
          <w:rFonts w:asciiTheme="minorHAnsi" w:hAnsiTheme="minorHAnsi"/>
          <w:color w:val="111111"/>
          <w:sz w:val="22"/>
          <w:szCs w:val="22"/>
        </w:rPr>
        <w:t>, C., (2018)</w:t>
      </w:r>
      <w:r w:rsidRPr="00B34F42">
        <w:rPr>
          <w:rFonts w:asciiTheme="minorHAnsi" w:hAnsiTheme="minorHAnsi"/>
          <w:color w:val="111111"/>
          <w:sz w:val="22"/>
          <w:szCs w:val="22"/>
        </w:rPr>
        <w:t xml:space="preserve"> A formative study exploring perceptions of physical activity and physical activity monitoring among children and young people with cystic fibrosis and health care professionals</w:t>
      </w:r>
      <w:r w:rsidRPr="00B34F42">
        <w:rPr>
          <w:rFonts w:asciiTheme="minorHAnsi" w:hAnsiTheme="minorHAnsi"/>
          <w:color w:val="111111"/>
          <w:position w:val="10"/>
          <w:sz w:val="22"/>
          <w:szCs w:val="22"/>
        </w:rPr>
        <w:t xml:space="preserve"> </w:t>
      </w:r>
      <w:r w:rsidRPr="00B34F42">
        <w:rPr>
          <w:rFonts w:asciiTheme="minorHAnsi" w:hAnsiTheme="minorHAnsi"/>
          <w:color w:val="111111"/>
          <w:sz w:val="22"/>
          <w:szCs w:val="22"/>
        </w:rPr>
        <w:t xml:space="preserve">BMC </w:t>
      </w:r>
      <w:r w:rsidR="009418AF" w:rsidRPr="00B34F42">
        <w:rPr>
          <w:rFonts w:asciiTheme="minorHAnsi" w:hAnsiTheme="minorHAnsi"/>
          <w:color w:val="111111"/>
          <w:sz w:val="22"/>
          <w:szCs w:val="22"/>
        </w:rPr>
        <w:t>Paediatrics</w:t>
      </w:r>
      <w:r w:rsidR="0098510B">
        <w:rPr>
          <w:rFonts w:asciiTheme="minorHAnsi" w:hAnsiTheme="minorHAnsi"/>
          <w:color w:val="111111"/>
          <w:sz w:val="22"/>
          <w:szCs w:val="22"/>
        </w:rPr>
        <w:t xml:space="preserve">, </w:t>
      </w:r>
      <w:r w:rsidRPr="00B34F42">
        <w:rPr>
          <w:rFonts w:asciiTheme="minorHAnsi" w:hAnsiTheme="minorHAnsi"/>
          <w:color w:val="111111"/>
          <w:sz w:val="22"/>
          <w:szCs w:val="22"/>
        </w:rPr>
        <w:t>18:335</w:t>
      </w:r>
    </w:p>
    <w:p w14:paraId="414EF0F4" w14:textId="77777777" w:rsidR="000E3FC1" w:rsidRDefault="000E3FC1" w:rsidP="000E3FC1">
      <w:pPr>
        <w:pStyle w:val="apa6"/>
        <w:spacing w:before="0" w:beforeAutospacing="0" w:after="160" w:afterAutospacing="0"/>
        <w:ind w:firstLine="720"/>
        <w:contextualSpacing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  <w:proofErr w:type="spellStart"/>
      <w:r w:rsidRPr="0080620D">
        <w:rPr>
          <w:rFonts w:asciiTheme="minorHAnsi" w:hAnsiTheme="minorHAnsi"/>
          <w:bCs/>
          <w:sz w:val="22"/>
          <w:szCs w:val="22"/>
        </w:rPr>
        <w:t>Trapasso</w:t>
      </w:r>
      <w:proofErr w:type="spellEnd"/>
      <w:r>
        <w:rPr>
          <w:rFonts w:asciiTheme="minorHAnsi" w:hAnsiTheme="minorHAnsi"/>
          <w:bCs/>
          <w:sz w:val="22"/>
          <w:szCs w:val="22"/>
        </w:rPr>
        <w:t>, E.</w:t>
      </w:r>
      <w:r w:rsidRPr="0080620D">
        <w:rPr>
          <w:rFonts w:asciiTheme="minorHAnsi" w:hAnsiTheme="minorHAnsi"/>
          <w:bCs/>
          <w:sz w:val="22"/>
          <w:szCs w:val="22"/>
        </w:rPr>
        <w:t>, Knowles</w:t>
      </w:r>
      <w:r>
        <w:rPr>
          <w:rFonts w:asciiTheme="minorHAnsi" w:hAnsiTheme="minorHAnsi"/>
          <w:bCs/>
          <w:sz w:val="22"/>
          <w:szCs w:val="22"/>
        </w:rPr>
        <w:t>, Z.</w:t>
      </w:r>
      <w:r w:rsidRPr="0080620D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Pr="0080620D">
        <w:rPr>
          <w:rFonts w:asciiTheme="minorHAnsi" w:hAnsiTheme="minorHAnsi"/>
          <w:bCs/>
          <w:sz w:val="22"/>
          <w:szCs w:val="22"/>
        </w:rPr>
        <w:t>Boddy</w:t>
      </w:r>
      <w:proofErr w:type="spellEnd"/>
      <w:r w:rsidRPr="0080620D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L.</w:t>
      </w:r>
      <w:r w:rsidRPr="0080620D">
        <w:rPr>
          <w:rFonts w:asciiTheme="minorHAnsi" w:hAnsiTheme="minorHAnsi"/>
          <w:bCs/>
          <w:sz w:val="22"/>
          <w:szCs w:val="22"/>
        </w:rPr>
        <w:t>, Newson,</w:t>
      </w:r>
      <w:r>
        <w:rPr>
          <w:rFonts w:asciiTheme="minorHAnsi" w:hAnsiTheme="minorHAnsi"/>
          <w:bCs/>
          <w:sz w:val="22"/>
          <w:szCs w:val="22"/>
        </w:rPr>
        <w:t xml:space="preserve"> L.,</w:t>
      </w:r>
      <w:r w:rsidRPr="0080620D">
        <w:rPr>
          <w:rFonts w:asciiTheme="minorHAnsi" w:hAnsiTheme="minorHAnsi"/>
          <w:bCs/>
          <w:sz w:val="22"/>
          <w:szCs w:val="22"/>
        </w:rPr>
        <w:t xml:space="preserve"> Sayers</w:t>
      </w:r>
      <w:r>
        <w:rPr>
          <w:rFonts w:asciiTheme="minorHAnsi" w:hAnsiTheme="minorHAnsi"/>
          <w:bCs/>
          <w:sz w:val="22"/>
          <w:szCs w:val="22"/>
        </w:rPr>
        <w:t>, J.,</w:t>
      </w:r>
      <w:r w:rsidRPr="0080620D">
        <w:rPr>
          <w:rFonts w:asciiTheme="minorHAnsi" w:hAnsiTheme="minorHAnsi"/>
          <w:bCs/>
          <w:sz w:val="22"/>
          <w:szCs w:val="22"/>
        </w:rPr>
        <w:t xml:space="preserve"> Austin</w:t>
      </w:r>
      <w:r>
        <w:rPr>
          <w:rFonts w:asciiTheme="minorHAnsi" w:hAnsiTheme="minorHAnsi"/>
          <w:bCs/>
          <w:sz w:val="22"/>
          <w:szCs w:val="22"/>
        </w:rPr>
        <w:t xml:space="preserve">, C., (2018) </w:t>
      </w:r>
      <w:r w:rsidRPr="00B34F42">
        <w:rPr>
          <w:rFonts w:asciiTheme="minorHAnsi" w:hAnsiTheme="minorHAnsi"/>
          <w:bCs/>
          <w:color w:val="222222"/>
          <w:kern w:val="36"/>
          <w:sz w:val="22"/>
          <w:szCs w:val="22"/>
        </w:rPr>
        <w:t>Exploring Gender Differences within Forest Schools as a Physical Activity Intervention</w:t>
      </w:r>
      <w:r>
        <w:rPr>
          <w:rFonts w:asciiTheme="minorHAnsi" w:hAnsiTheme="minorHAnsi"/>
          <w:bCs/>
          <w:color w:val="222222"/>
          <w:kern w:val="36"/>
          <w:sz w:val="22"/>
          <w:szCs w:val="22"/>
        </w:rPr>
        <w:t xml:space="preserve"> </w:t>
      </w:r>
      <w:r w:rsidRPr="0080620D">
        <w:rPr>
          <w:rStyle w:val="Emphasis"/>
          <w:rFonts w:asciiTheme="minorHAnsi" w:hAnsiTheme="minorHAnsi" w:cs="Arial"/>
          <w:color w:val="222222"/>
          <w:sz w:val="22"/>
          <w:szCs w:val="22"/>
        </w:rPr>
        <w:t>Children</w:t>
      </w:r>
      <w:r w:rsidRPr="0080620D">
        <w:rPr>
          <w:rStyle w:val="apple-converted-space"/>
          <w:rFonts w:asciiTheme="minorHAnsi" w:hAnsiTheme="minorHAnsi" w:cs="Arial"/>
          <w:color w:val="222222"/>
          <w:sz w:val="22"/>
          <w:szCs w:val="22"/>
          <w:shd w:val="clear" w:color="auto" w:fill="FFFFFF"/>
        </w:rPr>
        <w:t> </w:t>
      </w:r>
      <w:r w:rsidRPr="0080620D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,</w:t>
      </w:r>
      <w:r w:rsidRPr="0080620D">
        <w:rPr>
          <w:rStyle w:val="apple-converted-space"/>
          <w:rFonts w:asciiTheme="minorHAnsi" w:hAnsiTheme="minorHAnsi" w:cs="Arial"/>
          <w:color w:val="222222"/>
          <w:sz w:val="22"/>
          <w:szCs w:val="22"/>
          <w:shd w:val="clear" w:color="auto" w:fill="FFFFFF"/>
        </w:rPr>
        <w:t> </w:t>
      </w:r>
      <w:r w:rsidRPr="0080620D">
        <w:rPr>
          <w:rStyle w:val="Emphasis"/>
          <w:rFonts w:asciiTheme="minorHAnsi" w:hAnsiTheme="minorHAnsi" w:cs="Arial"/>
          <w:color w:val="222222"/>
          <w:sz w:val="22"/>
          <w:szCs w:val="22"/>
        </w:rPr>
        <w:t>5</w:t>
      </w:r>
      <w:r w:rsidRPr="0080620D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(10), </w:t>
      </w:r>
    </w:p>
    <w:p w14:paraId="0EB99B11" w14:textId="7397F652" w:rsidR="006544A6" w:rsidRPr="00BA59E7" w:rsidRDefault="006544A6" w:rsidP="00BA59E7">
      <w:pPr>
        <w:pStyle w:val="apa6"/>
        <w:spacing w:before="0" w:beforeAutospacing="0" w:after="160" w:afterAutospacing="0"/>
        <w:ind w:firstLine="72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0E3FC1">
        <w:rPr>
          <w:rFonts w:asciiTheme="minorHAnsi" w:hAnsiTheme="minorHAnsi"/>
          <w:color w:val="000000" w:themeColor="text1"/>
          <w:sz w:val="22"/>
          <w:szCs w:val="22"/>
        </w:rPr>
        <w:t xml:space="preserve">Van </w:t>
      </w:r>
      <w:proofErr w:type="spellStart"/>
      <w:r w:rsidRPr="000E3FC1">
        <w:rPr>
          <w:rFonts w:asciiTheme="minorHAnsi" w:hAnsiTheme="minorHAnsi"/>
          <w:color w:val="000000" w:themeColor="text1"/>
          <w:sz w:val="22"/>
          <w:szCs w:val="22"/>
        </w:rPr>
        <w:t>Miert</w:t>
      </w:r>
      <w:proofErr w:type="spellEnd"/>
      <w:r w:rsidRPr="000E3FC1">
        <w:rPr>
          <w:rFonts w:asciiTheme="minorHAnsi" w:hAnsiTheme="minorHAnsi"/>
          <w:color w:val="000000" w:themeColor="text1"/>
          <w:sz w:val="22"/>
          <w:szCs w:val="22"/>
        </w:rPr>
        <w:t xml:space="preserve"> C</w:t>
      </w:r>
      <w:r w:rsidR="0098510B" w:rsidRPr="000E3FC1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0E3FC1">
        <w:rPr>
          <w:rFonts w:asciiTheme="minorHAnsi" w:hAnsiTheme="minorHAnsi"/>
          <w:color w:val="000000" w:themeColor="text1"/>
          <w:sz w:val="22"/>
          <w:szCs w:val="22"/>
        </w:rPr>
        <w:t>, Fernandes</w:t>
      </w:r>
      <w:r w:rsidR="0098510B" w:rsidRPr="000E3FC1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0E3FC1">
        <w:rPr>
          <w:rFonts w:asciiTheme="minorHAnsi" w:hAnsiTheme="minorHAnsi"/>
          <w:color w:val="000000" w:themeColor="text1"/>
          <w:sz w:val="22"/>
          <w:szCs w:val="22"/>
        </w:rPr>
        <w:t xml:space="preserve"> R</w:t>
      </w:r>
      <w:r w:rsidR="0098510B" w:rsidRPr="000E3FC1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0E3FC1">
        <w:rPr>
          <w:rFonts w:asciiTheme="minorHAnsi" w:hAnsiTheme="minorHAnsi"/>
          <w:color w:val="000000" w:themeColor="text1"/>
          <w:sz w:val="22"/>
          <w:szCs w:val="22"/>
        </w:rPr>
        <w:t>F</w:t>
      </w:r>
      <w:r w:rsidR="0098510B" w:rsidRPr="000E3FC1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0E3FC1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="0098510B" w:rsidRPr="000E3FC1">
        <w:rPr>
          <w:rFonts w:asciiTheme="minorHAnsi" w:hAnsiTheme="minorHAnsi"/>
          <w:sz w:val="22"/>
          <w:szCs w:val="22"/>
        </w:rPr>
        <w:t>Eccleson</w:t>
      </w:r>
      <w:proofErr w:type="spellEnd"/>
      <w:r w:rsidR="0098510B" w:rsidRPr="000E3FC1">
        <w:rPr>
          <w:rFonts w:asciiTheme="minorHAnsi" w:hAnsiTheme="minorHAnsi"/>
          <w:sz w:val="22"/>
          <w:szCs w:val="22"/>
        </w:rPr>
        <w:t>,</w:t>
      </w:r>
      <w:r w:rsidR="000E3FC1" w:rsidRPr="000E3FC1">
        <w:rPr>
          <w:rFonts w:asciiTheme="minorHAnsi" w:hAnsiTheme="minorHAnsi"/>
          <w:sz w:val="22"/>
          <w:szCs w:val="22"/>
        </w:rPr>
        <w:t xml:space="preserve"> H.,</w:t>
      </w:r>
      <w:r w:rsidR="0098510B" w:rsidRPr="000E3FC1">
        <w:rPr>
          <w:rFonts w:asciiTheme="minorHAnsi" w:hAnsiTheme="minorHAnsi"/>
          <w:sz w:val="22"/>
          <w:szCs w:val="22"/>
        </w:rPr>
        <w:t> </w:t>
      </w:r>
      <w:r w:rsidR="000E3FC1" w:rsidRPr="000E3FC1">
        <w:rPr>
          <w:rFonts w:asciiTheme="minorHAnsi" w:hAnsiTheme="minorHAnsi"/>
          <w:sz w:val="22"/>
          <w:szCs w:val="22"/>
        </w:rPr>
        <w:t xml:space="preserve"> </w:t>
      </w:r>
      <w:r w:rsidR="0098510B" w:rsidRPr="000E3FC1">
        <w:rPr>
          <w:rFonts w:asciiTheme="minorHAnsi" w:hAnsiTheme="minorHAnsi"/>
          <w:sz w:val="22"/>
          <w:szCs w:val="22"/>
        </w:rPr>
        <w:t>Bedson, </w:t>
      </w:r>
      <w:r w:rsidR="000E3FC1" w:rsidRPr="000E3FC1">
        <w:rPr>
          <w:rFonts w:asciiTheme="minorHAnsi" w:hAnsiTheme="minorHAnsi"/>
          <w:sz w:val="22"/>
          <w:szCs w:val="22"/>
        </w:rPr>
        <w:t xml:space="preserve">E., </w:t>
      </w:r>
      <w:r w:rsidR="0098510B" w:rsidRPr="000E3FC1">
        <w:rPr>
          <w:rFonts w:asciiTheme="minorHAnsi" w:hAnsiTheme="minorHAnsi"/>
          <w:sz w:val="22"/>
          <w:szCs w:val="22"/>
        </w:rPr>
        <w:t>Lane,</w:t>
      </w:r>
      <w:r w:rsidR="000E3FC1" w:rsidRPr="000E3FC1">
        <w:rPr>
          <w:rFonts w:asciiTheme="minorHAnsi" w:hAnsiTheme="minorHAnsi"/>
          <w:sz w:val="22"/>
          <w:szCs w:val="22"/>
        </w:rPr>
        <w:t xml:space="preserve"> S., </w:t>
      </w:r>
      <w:r w:rsidR="0098510B" w:rsidRPr="000E3FC1">
        <w:rPr>
          <w:rFonts w:asciiTheme="minorHAnsi" w:hAnsiTheme="minorHAnsi"/>
          <w:sz w:val="22"/>
          <w:szCs w:val="22"/>
        </w:rPr>
        <w:t> </w:t>
      </w:r>
      <w:r w:rsidR="000E3FC1" w:rsidRPr="000E3FC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8510B" w:rsidRPr="000E3FC1">
        <w:rPr>
          <w:rFonts w:asciiTheme="minorHAnsi" w:hAnsiTheme="minorHAnsi"/>
          <w:sz w:val="22"/>
          <w:szCs w:val="22"/>
        </w:rPr>
        <w:t>Peak,</w:t>
      </w:r>
      <w:r w:rsidR="000E3FC1" w:rsidRPr="000E3FC1">
        <w:rPr>
          <w:rFonts w:asciiTheme="minorHAnsi" w:hAnsiTheme="minorHAnsi"/>
          <w:sz w:val="22"/>
          <w:szCs w:val="22"/>
        </w:rPr>
        <w:t>M</w:t>
      </w:r>
      <w:proofErr w:type="spellEnd"/>
      <w:r w:rsidR="000E3FC1" w:rsidRPr="000E3FC1">
        <w:rPr>
          <w:rFonts w:asciiTheme="minorHAnsi" w:hAnsiTheme="minorHAnsi"/>
          <w:sz w:val="22"/>
          <w:szCs w:val="22"/>
        </w:rPr>
        <w:t xml:space="preserve">., </w:t>
      </w:r>
      <w:r w:rsidR="0098510B" w:rsidRPr="000E3FC1">
        <w:rPr>
          <w:rFonts w:asciiTheme="minorHAnsi" w:hAnsiTheme="minorHAnsi"/>
          <w:sz w:val="22"/>
          <w:szCs w:val="22"/>
        </w:rPr>
        <w:t> </w:t>
      </w:r>
      <w:r w:rsidR="000E3FC1" w:rsidRPr="000E3FC1">
        <w:rPr>
          <w:rFonts w:asciiTheme="minorHAnsi" w:hAnsiTheme="minorHAnsi"/>
          <w:sz w:val="22"/>
          <w:szCs w:val="22"/>
        </w:rPr>
        <w:t xml:space="preserve"> </w:t>
      </w:r>
      <w:r w:rsidR="0098510B" w:rsidRPr="000E3FC1">
        <w:rPr>
          <w:rFonts w:asciiTheme="minorHAnsi" w:hAnsiTheme="minorHAnsi"/>
          <w:sz w:val="22"/>
          <w:szCs w:val="22"/>
        </w:rPr>
        <w:t>Thorburn,</w:t>
      </w:r>
      <w:r w:rsidR="000E3FC1" w:rsidRPr="000E3FC1">
        <w:rPr>
          <w:rFonts w:asciiTheme="minorHAnsi" w:hAnsiTheme="minorHAnsi"/>
          <w:sz w:val="22"/>
          <w:szCs w:val="22"/>
        </w:rPr>
        <w:t xml:space="preserve"> K.,</w:t>
      </w:r>
      <w:r w:rsidR="0098510B" w:rsidRPr="000E3FC1">
        <w:rPr>
          <w:rFonts w:asciiTheme="minorHAnsi" w:hAnsiTheme="minorHAnsi"/>
          <w:sz w:val="22"/>
          <w:szCs w:val="22"/>
        </w:rPr>
        <w:t> </w:t>
      </w:r>
      <w:r w:rsidR="000E3FC1" w:rsidRPr="000E3FC1">
        <w:rPr>
          <w:rFonts w:asciiTheme="minorHAnsi" w:hAnsiTheme="minorHAnsi"/>
          <w:sz w:val="22"/>
          <w:szCs w:val="22"/>
        </w:rPr>
        <w:t xml:space="preserve"> </w:t>
      </w:r>
      <w:r w:rsidR="0098510B" w:rsidRPr="000E3FC1">
        <w:rPr>
          <w:rFonts w:asciiTheme="minorHAnsi" w:hAnsiTheme="minorHAnsi"/>
          <w:sz w:val="22"/>
          <w:szCs w:val="22"/>
        </w:rPr>
        <w:t>Compton,</w:t>
      </w:r>
      <w:r w:rsidR="000E3FC1" w:rsidRPr="000E3FC1">
        <w:rPr>
          <w:rFonts w:asciiTheme="minorHAnsi" w:hAnsiTheme="minorHAnsi"/>
          <w:sz w:val="22"/>
          <w:szCs w:val="22"/>
        </w:rPr>
        <w:t xml:space="preserve"> V.,</w:t>
      </w:r>
      <w:r w:rsidR="0098510B" w:rsidRPr="000E3FC1">
        <w:rPr>
          <w:rFonts w:asciiTheme="minorHAnsi" w:hAnsiTheme="minorHAnsi"/>
          <w:sz w:val="22"/>
          <w:szCs w:val="22"/>
        </w:rPr>
        <w:t> </w:t>
      </w:r>
      <w:proofErr w:type="spellStart"/>
      <w:r w:rsidR="0098510B" w:rsidRPr="000E3FC1">
        <w:rPr>
          <w:rFonts w:asciiTheme="minorHAnsi" w:hAnsiTheme="minorHAnsi"/>
          <w:sz w:val="22"/>
          <w:szCs w:val="22"/>
        </w:rPr>
        <w:t>Woolfall</w:t>
      </w:r>
      <w:proofErr w:type="spellEnd"/>
      <w:r w:rsidR="0098510B" w:rsidRPr="000E3FC1">
        <w:rPr>
          <w:rFonts w:asciiTheme="minorHAnsi" w:hAnsiTheme="minorHAnsi"/>
          <w:sz w:val="22"/>
          <w:szCs w:val="22"/>
        </w:rPr>
        <w:t>, </w:t>
      </w:r>
      <w:r w:rsidR="000E3FC1" w:rsidRPr="000E3FC1">
        <w:rPr>
          <w:rFonts w:asciiTheme="minorHAnsi" w:hAnsiTheme="minorHAnsi"/>
          <w:sz w:val="22"/>
          <w:szCs w:val="22"/>
        </w:rPr>
        <w:t xml:space="preserve">K., </w:t>
      </w:r>
      <w:r w:rsidR="0098510B" w:rsidRPr="000E3FC1">
        <w:rPr>
          <w:rFonts w:asciiTheme="minorHAnsi" w:hAnsiTheme="minorHAnsi"/>
          <w:sz w:val="22"/>
          <w:szCs w:val="22"/>
        </w:rPr>
        <w:t>Lacy,</w:t>
      </w:r>
      <w:r w:rsidR="000E3FC1" w:rsidRPr="000E3FC1">
        <w:rPr>
          <w:rFonts w:asciiTheme="minorHAnsi" w:hAnsiTheme="minorHAnsi"/>
          <w:sz w:val="22"/>
          <w:szCs w:val="22"/>
        </w:rPr>
        <w:t xml:space="preserve"> D.,  </w:t>
      </w:r>
      <w:r w:rsidR="0098510B" w:rsidRPr="000E3FC1">
        <w:rPr>
          <w:rFonts w:asciiTheme="minorHAnsi" w:hAnsiTheme="minorHAnsi"/>
          <w:sz w:val="22"/>
          <w:szCs w:val="22"/>
        </w:rPr>
        <w:t>Williamson</w:t>
      </w:r>
      <w:r w:rsidR="000E3FC1" w:rsidRPr="000E3FC1">
        <w:rPr>
          <w:rFonts w:asciiTheme="minorHAnsi" w:hAnsiTheme="minorHAnsi"/>
          <w:sz w:val="22"/>
          <w:szCs w:val="22"/>
        </w:rPr>
        <w:t>, P.,</w:t>
      </w:r>
      <w:r w:rsidR="0098510B" w:rsidRPr="000E3FC1">
        <w:rPr>
          <w:rFonts w:asciiTheme="minorHAnsi" w:hAnsiTheme="minorHAnsi"/>
          <w:sz w:val="22"/>
          <w:szCs w:val="22"/>
        </w:rPr>
        <w:t> McNamara</w:t>
      </w:r>
      <w:r w:rsidR="000E3FC1" w:rsidRPr="000E3FC1">
        <w:rPr>
          <w:rFonts w:asciiTheme="minorHAnsi" w:hAnsiTheme="minorHAnsi"/>
          <w:sz w:val="22"/>
          <w:szCs w:val="22"/>
        </w:rPr>
        <w:t xml:space="preserve">, P.S., </w:t>
      </w:r>
      <w:r w:rsidR="0098510B" w:rsidRPr="000E3FC1">
        <w:rPr>
          <w:rFonts w:asciiTheme="minorHAnsi" w:hAnsiTheme="minorHAnsi"/>
          <w:color w:val="000000" w:themeColor="text1"/>
          <w:sz w:val="22"/>
          <w:szCs w:val="22"/>
        </w:rPr>
        <w:t xml:space="preserve">(2018) </w:t>
      </w:r>
      <w:r w:rsidRPr="000E3FC1">
        <w:rPr>
          <w:rFonts w:asciiTheme="minorHAnsi" w:hAnsiTheme="minorHAnsi"/>
          <w:color w:val="000000" w:themeColor="text1"/>
          <w:sz w:val="22"/>
          <w:szCs w:val="22"/>
        </w:rPr>
        <w:t>Non-invasive ventilation for the management of children with bronchiolitis (NOVEMBR): a feasibility study protocol. Trials</w:t>
      </w:r>
      <w:r w:rsidR="0098510B" w:rsidRPr="000E3FC1">
        <w:rPr>
          <w:rFonts w:asciiTheme="minorHAnsi" w:hAnsiTheme="minorHAnsi"/>
          <w:color w:val="000000" w:themeColor="text1"/>
          <w:sz w:val="22"/>
          <w:szCs w:val="22"/>
        </w:rPr>
        <w:t>, 19:627</w:t>
      </w:r>
      <w:r w:rsidRPr="000E3FC1">
        <w:rPr>
          <w:rFonts w:asciiTheme="minorHAnsi" w:hAnsiTheme="minorHAnsi"/>
          <w:color w:val="000000" w:themeColor="text1"/>
          <w:sz w:val="22"/>
          <w:szCs w:val="22"/>
        </w:rPr>
        <w:t xml:space="preserve"> 2018</w:t>
      </w:r>
      <w:r w:rsidR="0098510B" w:rsidRPr="000E3FC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sectPr w:rsidR="006544A6" w:rsidRPr="00BA59E7" w:rsidSect="00622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034CB" w14:textId="77777777" w:rsidR="00611CB4" w:rsidRDefault="00611CB4" w:rsidP="00B2228F">
      <w:r>
        <w:separator/>
      </w:r>
    </w:p>
  </w:endnote>
  <w:endnote w:type="continuationSeparator" w:id="0">
    <w:p w14:paraId="28B51933" w14:textId="77777777" w:rsidR="00611CB4" w:rsidRDefault="00611CB4" w:rsidP="00B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0399A" w14:textId="77777777" w:rsidR="00611CB4" w:rsidRDefault="00611CB4" w:rsidP="00B2228F">
      <w:r>
        <w:separator/>
      </w:r>
    </w:p>
  </w:footnote>
  <w:footnote w:type="continuationSeparator" w:id="0">
    <w:p w14:paraId="7148DE67" w14:textId="77777777" w:rsidR="00611CB4" w:rsidRDefault="00611CB4" w:rsidP="00B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0875"/>
    <w:multiLevelType w:val="hybridMultilevel"/>
    <w:tmpl w:val="670A6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72164"/>
    <w:multiLevelType w:val="hybridMultilevel"/>
    <w:tmpl w:val="6B3E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67988"/>
    <w:multiLevelType w:val="hybridMultilevel"/>
    <w:tmpl w:val="3AEE0C0C"/>
    <w:lvl w:ilvl="0" w:tplc="6E10D41A">
      <w:numFmt w:val="bullet"/>
      <w:lvlText w:val=""/>
      <w:lvlJc w:val="left"/>
      <w:pPr>
        <w:ind w:left="820" w:hanging="4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A5A49"/>
    <w:multiLevelType w:val="hybridMultilevel"/>
    <w:tmpl w:val="E042E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721E"/>
    <w:multiLevelType w:val="hybridMultilevel"/>
    <w:tmpl w:val="8CBEDDAC"/>
    <w:lvl w:ilvl="0" w:tplc="6E10D41A">
      <w:numFmt w:val="bullet"/>
      <w:lvlText w:val=""/>
      <w:lvlJc w:val="left"/>
      <w:pPr>
        <w:ind w:left="820" w:hanging="4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6094"/>
    <w:multiLevelType w:val="hybridMultilevel"/>
    <w:tmpl w:val="9D98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F01E1"/>
    <w:multiLevelType w:val="hybridMultilevel"/>
    <w:tmpl w:val="695EB9BC"/>
    <w:lvl w:ilvl="0" w:tplc="6E10D41A">
      <w:numFmt w:val="bullet"/>
      <w:lvlText w:val=""/>
      <w:lvlJc w:val="left"/>
      <w:pPr>
        <w:ind w:left="820" w:hanging="4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C716F"/>
    <w:multiLevelType w:val="hybridMultilevel"/>
    <w:tmpl w:val="F5C0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D29D0"/>
    <w:multiLevelType w:val="multilevel"/>
    <w:tmpl w:val="0809001D"/>
    <w:numStyleLink w:val="Style2"/>
  </w:abstractNum>
  <w:abstractNum w:abstractNumId="9" w15:restartNumberingAfterBreak="0">
    <w:nsid w:val="683C2214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CD4396"/>
    <w:multiLevelType w:val="hybridMultilevel"/>
    <w:tmpl w:val="D59AF550"/>
    <w:lvl w:ilvl="0" w:tplc="6E10D41A">
      <w:numFmt w:val="bullet"/>
      <w:lvlText w:val=""/>
      <w:lvlJc w:val="left"/>
      <w:pPr>
        <w:ind w:left="820" w:hanging="4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53743"/>
    <w:multiLevelType w:val="hybridMultilevel"/>
    <w:tmpl w:val="691E266A"/>
    <w:lvl w:ilvl="0" w:tplc="08090001">
      <w:start w:val="1"/>
      <w:numFmt w:val="bullet"/>
      <w:lvlText w:val=""/>
      <w:lvlJc w:val="left"/>
      <w:pPr>
        <w:tabs>
          <w:tab w:val="num" w:pos="-4967"/>
        </w:tabs>
        <w:ind w:left="-4967" w:hanging="567"/>
      </w:pPr>
      <w:rPr>
        <w:rFonts w:ascii="Symbol" w:hAnsi="Symbol" w:hint="default"/>
      </w:rPr>
    </w:lvl>
    <w:lvl w:ilvl="1" w:tplc="720009C8">
      <w:start w:val="3"/>
      <w:numFmt w:val="bullet"/>
      <w:lvlText w:val="-"/>
      <w:lvlJc w:val="left"/>
      <w:pPr>
        <w:tabs>
          <w:tab w:val="num" w:pos="-3734"/>
        </w:tabs>
        <w:ind w:left="-3734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374"/>
        </w:tabs>
        <w:ind w:left="-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654"/>
        </w:tabs>
        <w:ind w:left="-2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934"/>
        </w:tabs>
        <w:ind w:left="-1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214"/>
        </w:tabs>
        <w:ind w:left="-1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494"/>
        </w:tabs>
        <w:ind w:left="-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26"/>
        </w:tabs>
        <w:ind w:left="2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6"/>
        </w:tabs>
        <w:ind w:left="9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D1"/>
    <w:rsid w:val="000066FC"/>
    <w:rsid w:val="00016408"/>
    <w:rsid w:val="00021F9E"/>
    <w:rsid w:val="0003768F"/>
    <w:rsid w:val="00076EF8"/>
    <w:rsid w:val="000D3A18"/>
    <w:rsid w:val="000E3FC1"/>
    <w:rsid w:val="001163AD"/>
    <w:rsid w:val="00141FE7"/>
    <w:rsid w:val="001561FB"/>
    <w:rsid w:val="00173F32"/>
    <w:rsid w:val="001A030B"/>
    <w:rsid w:val="001A07B3"/>
    <w:rsid w:val="001B0B52"/>
    <w:rsid w:val="001B69D9"/>
    <w:rsid w:val="001E276A"/>
    <w:rsid w:val="0020726D"/>
    <w:rsid w:val="00241298"/>
    <w:rsid w:val="002A4428"/>
    <w:rsid w:val="002A4863"/>
    <w:rsid w:val="002F40C3"/>
    <w:rsid w:val="003141E6"/>
    <w:rsid w:val="00331BB7"/>
    <w:rsid w:val="00334345"/>
    <w:rsid w:val="00346E60"/>
    <w:rsid w:val="003726C6"/>
    <w:rsid w:val="003817A0"/>
    <w:rsid w:val="00385A57"/>
    <w:rsid w:val="00393D0D"/>
    <w:rsid w:val="003B5563"/>
    <w:rsid w:val="003C3812"/>
    <w:rsid w:val="003C47B5"/>
    <w:rsid w:val="003E6A0B"/>
    <w:rsid w:val="004063CD"/>
    <w:rsid w:val="004511BF"/>
    <w:rsid w:val="00455EAF"/>
    <w:rsid w:val="0047568F"/>
    <w:rsid w:val="004A0F5A"/>
    <w:rsid w:val="004D21B9"/>
    <w:rsid w:val="004F5551"/>
    <w:rsid w:val="004F5E51"/>
    <w:rsid w:val="00504737"/>
    <w:rsid w:val="005147F2"/>
    <w:rsid w:val="00526035"/>
    <w:rsid w:val="0057050D"/>
    <w:rsid w:val="005708CA"/>
    <w:rsid w:val="005746B0"/>
    <w:rsid w:val="005818AF"/>
    <w:rsid w:val="00582FD7"/>
    <w:rsid w:val="005904D4"/>
    <w:rsid w:val="005A6EA4"/>
    <w:rsid w:val="00610A94"/>
    <w:rsid w:val="00611CB4"/>
    <w:rsid w:val="0062241D"/>
    <w:rsid w:val="00626690"/>
    <w:rsid w:val="00641E10"/>
    <w:rsid w:val="006544A6"/>
    <w:rsid w:val="00655330"/>
    <w:rsid w:val="00655A3F"/>
    <w:rsid w:val="00680B44"/>
    <w:rsid w:val="00695849"/>
    <w:rsid w:val="006B7A66"/>
    <w:rsid w:val="00715C69"/>
    <w:rsid w:val="00717668"/>
    <w:rsid w:val="007431C1"/>
    <w:rsid w:val="00752944"/>
    <w:rsid w:val="007659DF"/>
    <w:rsid w:val="0077277E"/>
    <w:rsid w:val="00793CA7"/>
    <w:rsid w:val="00796BDE"/>
    <w:rsid w:val="007D7DC8"/>
    <w:rsid w:val="007F491F"/>
    <w:rsid w:val="007F4C3A"/>
    <w:rsid w:val="0080620D"/>
    <w:rsid w:val="00844176"/>
    <w:rsid w:val="008455FF"/>
    <w:rsid w:val="00877115"/>
    <w:rsid w:val="008954FD"/>
    <w:rsid w:val="008A122F"/>
    <w:rsid w:val="008B1A3F"/>
    <w:rsid w:val="0090022F"/>
    <w:rsid w:val="00915315"/>
    <w:rsid w:val="0093426F"/>
    <w:rsid w:val="009418AF"/>
    <w:rsid w:val="00963CA4"/>
    <w:rsid w:val="00973E25"/>
    <w:rsid w:val="0098510B"/>
    <w:rsid w:val="009A0F23"/>
    <w:rsid w:val="009A2937"/>
    <w:rsid w:val="009A6C19"/>
    <w:rsid w:val="00A4094C"/>
    <w:rsid w:val="00A4642F"/>
    <w:rsid w:val="00A500C8"/>
    <w:rsid w:val="00A56209"/>
    <w:rsid w:val="00A711E9"/>
    <w:rsid w:val="00AB16F9"/>
    <w:rsid w:val="00AC74D4"/>
    <w:rsid w:val="00AD12A4"/>
    <w:rsid w:val="00B05268"/>
    <w:rsid w:val="00B06E8B"/>
    <w:rsid w:val="00B100D1"/>
    <w:rsid w:val="00B2228F"/>
    <w:rsid w:val="00B34F42"/>
    <w:rsid w:val="00B74251"/>
    <w:rsid w:val="00B7461D"/>
    <w:rsid w:val="00B8055B"/>
    <w:rsid w:val="00B8610F"/>
    <w:rsid w:val="00BA59E7"/>
    <w:rsid w:val="00BD07C4"/>
    <w:rsid w:val="00BE2811"/>
    <w:rsid w:val="00BE4FFB"/>
    <w:rsid w:val="00C04E17"/>
    <w:rsid w:val="00C1374B"/>
    <w:rsid w:val="00C43851"/>
    <w:rsid w:val="00C47737"/>
    <w:rsid w:val="00C512CD"/>
    <w:rsid w:val="00C87CF6"/>
    <w:rsid w:val="00CB20BF"/>
    <w:rsid w:val="00CD06A6"/>
    <w:rsid w:val="00D076EC"/>
    <w:rsid w:val="00D20FB0"/>
    <w:rsid w:val="00D22869"/>
    <w:rsid w:val="00D33A91"/>
    <w:rsid w:val="00D33C4F"/>
    <w:rsid w:val="00D361C2"/>
    <w:rsid w:val="00D44743"/>
    <w:rsid w:val="00D57D0A"/>
    <w:rsid w:val="00D64D20"/>
    <w:rsid w:val="00D8130C"/>
    <w:rsid w:val="00D838B6"/>
    <w:rsid w:val="00DD1A63"/>
    <w:rsid w:val="00E06EE9"/>
    <w:rsid w:val="00E24F93"/>
    <w:rsid w:val="00E262F5"/>
    <w:rsid w:val="00E47E19"/>
    <w:rsid w:val="00E70647"/>
    <w:rsid w:val="00E76717"/>
    <w:rsid w:val="00E903CA"/>
    <w:rsid w:val="00EA5B8D"/>
    <w:rsid w:val="00EC1288"/>
    <w:rsid w:val="00EF16D9"/>
    <w:rsid w:val="00F1498B"/>
    <w:rsid w:val="00F33831"/>
    <w:rsid w:val="00F727D8"/>
    <w:rsid w:val="00F862AB"/>
    <w:rsid w:val="00FA6C9C"/>
    <w:rsid w:val="00FB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0E879"/>
  <w15:docId w15:val="{F05D3111-25D6-49A7-AF04-699BDEAC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0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34F4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2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28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22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28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4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8610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727D8"/>
    <w:pPr>
      <w:spacing w:after="160" w:line="259" w:lineRule="auto"/>
      <w:ind w:left="720"/>
      <w:contextualSpacing/>
      <w:jc w:val="center"/>
    </w:pPr>
    <w:rPr>
      <w:rFonts w:ascii="Cambria" w:eastAsia="Times New Roman" w:hAnsi="Cambria" w:cs="Arial"/>
      <w:b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D33C4F"/>
  </w:style>
  <w:style w:type="paragraph" w:customStyle="1" w:styleId="apa6">
    <w:name w:val="apa6"/>
    <w:basedOn w:val="Normal"/>
    <w:rsid w:val="003B5563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3B5563"/>
    <w:rPr>
      <w:b/>
      <w:bCs/>
    </w:rPr>
  </w:style>
  <w:style w:type="paragraph" w:styleId="NoSpacing">
    <w:name w:val="No Spacing"/>
    <w:basedOn w:val="Normal"/>
    <w:uiPriority w:val="1"/>
    <w:qFormat/>
    <w:rsid w:val="004F5551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unhideWhenUsed/>
    <w:rsid w:val="004F5551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544A6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5818AF"/>
    <w:rPr>
      <w:rFonts w:ascii="Univers 45 Light" w:eastAsia="Times New Roman" w:hAnsi="Univers 45 Light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818AF"/>
    <w:rPr>
      <w:rFonts w:ascii="Univers 45 Light" w:eastAsia="Times New Roman" w:hAnsi="Univers 45 Light" w:cs="Times New Roman"/>
      <w:sz w:val="20"/>
      <w:szCs w:val="24"/>
      <w:lang w:eastAsia="en-US"/>
    </w:rPr>
  </w:style>
  <w:style w:type="numbering" w:customStyle="1" w:styleId="Style2">
    <w:name w:val="Style2"/>
    <w:rsid w:val="005818AF"/>
    <w:pPr>
      <w:numPr>
        <w:numId w:val="6"/>
      </w:numPr>
    </w:pPr>
  </w:style>
  <w:style w:type="character" w:styleId="Emphasis">
    <w:name w:val="Emphasis"/>
    <w:basedOn w:val="DefaultParagraphFont"/>
    <w:uiPriority w:val="20"/>
    <w:qFormat/>
    <w:rsid w:val="0084417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34F42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10B"/>
    <w:rPr>
      <w:color w:val="605E5C"/>
      <w:shd w:val="clear" w:color="auto" w:fill="E1DFDD"/>
    </w:rPr>
  </w:style>
  <w:style w:type="character" w:customStyle="1" w:styleId="authorname">
    <w:name w:val="authorname"/>
    <w:basedOn w:val="DefaultParagraphFont"/>
    <w:rsid w:val="0098510B"/>
  </w:style>
  <w:style w:type="character" w:styleId="CommentReference">
    <w:name w:val="annotation reference"/>
    <w:basedOn w:val="DefaultParagraphFont"/>
    <w:uiPriority w:val="99"/>
    <w:semiHidden/>
    <w:unhideWhenUsed/>
    <w:rsid w:val="00A71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1E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1E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2" w:space="1" w:color="000000"/>
                        <w:right w:val="none" w:sz="0" w:space="0" w:color="auto"/>
                      </w:divBdr>
                      <w:divsChild>
                        <w:div w:id="6937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uble" w:sz="2" w:space="1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doi.org/10.1136/bmjpo-2017-0001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ture4health.impacts.repor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Leighton, Diana</dc:creator>
  <cp:keywords/>
  <dc:description/>
  <cp:lastModifiedBy>Hutcheon, Gillian</cp:lastModifiedBy>
  <cp:revision>2</cp:revision>
  <dcterms:created xsi:type="dcterms:W3CDTF">2019-04-26T13:03:00Z</dcterms:created>
  <dcterms:modified xsi:type="dcterms:W3CDTF">2019-04-26T13:03:00Z</dcterms:modified>
</cp:coreProperties>
</file>